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AA846C">
      <w:pPr>
        <w:spacing w:line="640" w:lineRule="exact"/>
        <w:jc w:val="center"/>
        <w:rPr>
          <w:rFonts w:ascii="Times New Roman" w:hAnsi="Times New Roman" w:eastAsia="方正小标宋简体" w:cs="Times New Roman"/>
          <w:color w:val="0D0D0D" w:themeColor="text1" w:themeTint="F2"/>
          <w:sz w:val="44"/>
          <w:szCs w:val="44"/>
          <w14:textFill>
            <w14:solidFill>
              <w14:schemeClr w14:val="tx1">
                <w14:lumMod w14:val="95000"/>
                <w14:lumOff w14:val="5000"/>
              </w14:schemeClr>
            </w14:solidFill>
          </w14:textFill>
        </w:rPr>
      </w:pPr>
      <w:r>
        <w:rPr>
          <w:rFonts w:hint="eastAsia" w:ascii="Times New Roman" w:hAnsi="Times New Roman" w:eastAsia="方正小标宋简体" w:cs="方正小标宋简体"/>
          <w:color w:val="0D0D0D" w:themeColor="text1" w:themeTint="F2"/>
          <w:sz w:val="44"/>
          <w:szCs w:val="44"/>
          <w14:textFill>
            <w14:solidFill>
              <w14:schemeClr w14:val="tx1">
                <w14:lumMod w14:val="95000"/>
                <w14:lumOff w14:val="5000"/>
              </w14:schemeClr>
            </w14:solidFill>
          </w14:textFill>
        </w:rPr>
        <w:t>晋江市市场监督管理局</w:t>
      </w:r>
    </w:p>
    <w:p w14:paraId="03233113">
      <w:pPr>
        <w:spacing w:line="640" w:lineRule="exact"/>
        <w:jc w:val="center"/>
        <w:rPr>
          <w:rFonts w:ascii="Times New Roman" w:hAnsi="Times New Roman" w:eastAsia="方正小标宋简体" w:cs="Times New Roman"/>
          <w:color w:val="0D0D0D" w:themeColor="text1" w:themeTint="F2"/>
          <w:sz w:val="44"/>
          <w:szCs w:val="44"/>
          <w14:textFill>
            <w14:solidFill>
              <w14:schemeClr w14:val="tx1">
                <w14:lumMod w14:val="95000"/>
                <w14:lumOff w14:val="5000"/>
              </w14:schemeClr>
            </w14:solidFill>
          </w14:textFill>
        </w:rPr>
      </w:pPr>
      <w:r>
        <w:rPr>
          <w:rFonts w:hint="eastAsia" w:ascii="Times New Roman" w:hAnsi="Times New Roman" w:eastAsia="方正小标宋简体" w:cs="方正小标宋简体"/>
          <w:color w:val="0D0D0D" w:themeColor="text1" w:themeTint="F2"/>
          <w:sz w:val="44"/>
          <w:szCs w:val="44"/>
          <w14:textFill>
            <w14:solidFill>
              <w14:schemeClr w14:val="tx1">
                <w14:lumMod w14:val="95000"/>
                <w14:lumOff w14:val="5000"/>
              </w14:schemeClr>
            </w14:solidFill>
          </w14:textFill>
        </w:rPr>
        <w:t>行政处罚决定书</w:t>
      </w:r>
    </w:p>
    <w:p w14:paraId="0F21FAC8">
      <w:pPr>
        <w:wordWrap w:val="0"/>
        <w:snapToGrid w:val="0"/>
        <w:spacing w:beforeLines="100" w:afterLines="100" w:line="520" w:lineRule="exact"/>
        <w:jc w:val="center"/>
        <w:rPr>
          <w:rFonts w:ascii="仿宋_GB2312" w:hAnsi="Times New Roman" w:eastAsia="仿宋_GB2312" w:cs="Times New Roman"/>
          <w:color w:val="0D0D0D" w:themeColor="text1" w:themeTint="F2"/>
          <w:sz w:val="32"/>
          <w:szCs w:val="32"/>
          <w14:textFill>
            <w14:solidFill>
              <w14:schemeClr w14:val="tx1">
                <w14:lumMod w14:val="95000"/>
                <w14:lumOff w14:val="5000"/>
              </w14:schemeClr>
            </w14:solidFill>
          </w14:textFill>
        </w:rPr>
      </w:pPr>
      <w:r>
        <w:rPr>
          <w:color w:val="0D0D0D" w:themeColor="text1" w:themeTint="F2"/>
          <w:sz w:val="21"/>
          <w14:textFill>
            <w14:solidFill>
              <w14:schemeClr w14:val="tx1">
                <w14:lumMod w14:val="95000"/>
                <w14:lumOff w14:val="5000"/>
              </w14:schemeClr>
            </w14:solidFill>
          </w14:textFill>
        </w:rPr>
        <mc:AlternateContent>
          <mc:Choice Requires="wps">
            <w:drawing>
              <wp:anchor distT="0" distB="0" distL="114300" distR="114300" simplePos="0" relativeHeight="251663360" behindDoc="0" locked="0" layoutInCell="1" allowOverlap="1">
                <wp:simplePos x="0" y="0"/>
                <wp:positionH relativeFrom="column">
                  <wp:posOffset>-449580</wp:posOffset>
                </wp:positionH>
                <wp:positionV relativeFrom="paragraph">
                  <wp:posOffset>554355</wp:posOffset>
                </wp:positionV>
                <wp:extent cx="6480175" cy="0"/>
                <wp:effectExtent l="0" t="9525" r="12065" b="13335"/>
                <wp:wrapNone/>
                <wp:docPr id="4" name="直接连接符 4"/>
                <wp:cNvGraphicFramePr/>
                <a:graphic xmlns:a="http://schemas.openxmlformats.org/drawingml/2006/main">
                  <a:graphicData uri="http://schemas.microsoft.com/office/word/2010/wordprocessingShape">
                    <wps:wsp>
                      <wps:cNvCnPr/>
                      <wps:spPr>
                        <a:xfrm>
                          <a:off x="1170305" y="2281555"/>
                          <a:ext cx="6480175" cy="0"/>
                        </a:xfrm>
                        <a:prstGeom prst="line">
                          <a:avLst/>
                        </a:prstGeom>
                        <a:ln w="190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_x0000_s1026" o:spid="_x0000_s1026" o:spt="20" style="position:absolute;left:0pt;margin-left:-35.4pt;margin-top:43.65pt;height:0pt;width:510.25pt;z-index:251663360;mso-width-relative:page;mso-height-relative:page;" filled="f" stroked="t" coordsize="21600,21600" o:gfxdata="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2QJjj2QAAAAkBAAAPAAAAAAAAAAEAIAAAACIAAABkcnMvZG93bnJldi54bWxQSwEC&#10;FAAUAAAACACHTuJAhr/EMfMBAAC+AwAADgAAAAAAAAABACAAAAAoAQAAZHJzL2Uyb0RvYy54bWxQ&#10;SwUGAAAAAAYABgBZAQAAjQUAAAAA&#10;">
                <v:fill on="f" focussize="0,0"/>
                <v:stroke weight="1.5pt" color="#000000 [3200]" miterlimit="8" joinstyle="miter"/>
                <v:imagedata o:title=""/>
                <o:lock v:ext="edit" aspectratio="f"/>
              </v:line>
            </w:pict>
          </mc:Fallback>
        </mc:AlternateContent>
      </w:r>
      <w:r>
        <w:rPr>
          <w:color w:val="0D0D0D" w:themeColor="text1" w:themeTint="F2"/>
          <w14:textFill>
            <w14:solidFill>
              <w14:schemeClr w14:val="tx1">
                <w14:lumMod w14:val="95000"/>
                <w14:lumOff w14:val="5000"/>
              </w14:schemeClr>
            </w14:solidFill>
          </w14:textFill>
        </w:rPr>
        <mc:AlternateContent>
          <mc:Choice Requires="wps">
            <w:drawing>
              <wp:anchor distT="0" distB="0" distL="114300" distR="114300" simplePos="0" relativeHeight="251660288" behindDoc="0" locked="0" layoutInCell="1" allowOverlap="1">
                <wp:simplePos x="0" y="0"/>
                <wp:positionH relativeFrom="column">
                  <wp:posOffset>25400</wp:posOffset>
                </wp:positionH>
                <wp:positionV relativeFrom="paragraph">
                  <wp:posOffset>20802600</wp:posOffset>
                </wp:positionV>
                <wp:extent cx="5761990" cy="1270"/>
                <wp:effectExtent l="9525" t="9525" r="19685" b="12065"/>
                <wp:wrapNone/>
                <wp:docPr id="1" name="直接箭头连接符 1"/>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pt;margin-top:1638pt;height:0.1pt;width:453.7pt;z-index:251660288;mso-width-relative:page;mso-height-relative:page;" filled="f" stroked="t" coordsize="21600,21600" o:gfxdata="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i14omtoAAAALAQAADwAAAAAAAAABACAAAAAiAAAAZHJzL2Rv&#10;d25yZXYueG1sUEsBAhQAFAAAAAgAh07iQH3OV+//AQAA7gMAAA4AAAAAAAAAAQAgAAAAKQEAAGRy&#10;cy9lMm9Eb2MueG1sUEsFBgAAAAAGAAYAWQEAAJoFAAAAAA==&#10;">
                <v:fill on="f" focussize="0,0"/>
                <v:stroke weight="1.5pt" color="#000000" joinstyle="round" endcap="square"/>
                <v:imagedata o:title=""/>
                <o:lock v:ext="edit" aspectratio="f"/>
              </v:shape>
            </w:pict>
          </mc:Fallback>
        </mc:AlternateContent>
      </w:r>
      <w:r>
        <w:rPr>
          <w:rFonts w:hint="eastAsia" w:ascii="仿宋_GB2312" w:hAnsi="Times New Roman" w:eastAsia="仿宋_GB2312" w:cs="仿宋_GB2312"/>
          <w:color w:val="0D0D0D" w:themeColor="text1" w:themeTint="F2"/>
          <w:sz w:val="32"/>
          <w:szCs w:val="32"/>
          <w14:textFill>
            <w14:solidFill>
              <w14:schemeClr w14:val="tx1">
                <w14:lumMod w14:val="95000"/>
                <w14:lumOff w14:val="5000"/>
              </w14:schemeClr>
            </w14:solidFill>
          </w14:textFill>
        </w:rPr>
        <w:t>晋市监</w:t>
      </w:r>
      <w:r>
        <w:rPr>
          <w:rFonts w:hint="eastAsia" w:ascii="仿宋_GB2312" w:hAnsi="Times New Roman" w:eastAsia="仿宋_GB2312" w:cs="仿宋_GB2312"/>
          <w:color w:val="0D0D0D" w:themeColor="text1" w:themeTint="F2"/>
          <w:sz w:val="32"/>
          <w:szCs w:val="32"/>
          <w:u w:val="none"/>
          <w:lang w:eastAsia="zh-CN"/>
          <w14:textFill>
            <w14:solidFill>
              <w14:schemeClr w14:val="tx1">
                <w14:lumMod w14:val="95000"/>
                <w14:lumOff w14:val="5000"/>
              </w14:schemeClr>
            </w14:solidFill>
          </w14:textFill>
        </w:rPr>
        <w:t>处罚</w:t>
      </w:r>
      <w:r>
        <w:rPr>
          <w:rFonts w:hint="eastAsia" w:ascii="仿宋_GB2312" w:hAnsi="Times New Roman" w:eastAsia="仿宋_GB2312" w:cs="仿宋_GB2312"/>
          <w:color w:val="0D0D0D" w:themeColor="text1" w:themeTint="F2"/>
          <w:sz w:val="32"/>
          <w:szCs w:val="32"/>
          <w:u w:val="none"/>
          <w14:textFill>
            <w14:solidFill>
              <w14:schemeClr w14:val="tx1">
                <w14:lumMod w14:val="95000"/>
                <w14:lumOff w14:val="5000"/>
              </w14:schemeClr>
            </w14:solidFill>
          </w14:textFill>
        </w:rPr>
        <w:t>〔</w:t>
      </w:r>
      <w:r>
        <w:rPr>
          <w:rFonts w:hint="eastAsia" w:ascii="仿宋_GB2312" w:hAnsi="Times New Roman" w:eastAsia="仿宋_GB2312" w:cs="仿宋_GB2312"/>
          <w:color w:val="0D0D0D" w:themeColor="text1" w:themeTint="F2"/>
          <w:sz w:val="32"/>
          <w:szCs w:val="32"/>
          <w:u w:val="none"/>
          <w:lang w:val="en-US" w:eastAsia="zh-CN"/>
          <w14:textFill>
            <w14:solidFill>
              <w14:schemeClr w14:val="tx1">
                <w14:lumMod w14:val="95000"/>
                <w14:lumOff w14:val="5000"/>
              </w14:schemeClr>
            </w14:solidFill>
          </w14:textFill>
        </w:rPr>
        <w:t>2026</w:t>
      </w:r>
      <w:r>
        <w:rPr>
          <w:rFonts w:hint="eastAsia" w:ascii="仿宋_GB2312" w:hAnsi="Times New Roman" w:eastAsia="仿宋_GB2312" w:cs="仿宋_GB2312"/>
          <w:color w:val="0D0D0D" w:themeColor="text1" w:themeTint="F2"/>
          <w:sz w:val="32"/>
          <w:szCs w:val="32"/>
          <w:u w:val="none"/>
          <w14:textFill>
            <w14:solidFill>
              <w14:schemeClr w14:val="tx1">
                <w14:lumMod w14:val="95000"/>
                <w14:lumOff w14:val="5000"/>
              </w14:schemeClr>
            </w14:solidFill>
          </w14:textFill>
        </w:rPr>
        <w:t>〕</w:t>
      </w:r>
      <w:r>
        <w:rPr>
          <w:rFonts w:hint="eastAsia" w:ascii="仿宋_GB2312" w:hAnsi="Times New Roman" w:eastAsia="仿宋_GB2312" w:cs="仿宋_GB2312"/>
          <w:color w:val="0D0D0D" w:themeColor="text1" w:themeTint="F2"/>
          <w:sz w:val="32"/>
          <w:szCs w:val="32"/>
          <w:u w:val="none"/>
          <w:lang w:val="en-US" w:eastAsia="zh-CN"/>
          <w14:textFill>
            <w14:solidFill>
              <w14:schemeClr w14:val="tx1">
                <w14:lumMod w14:val="95000"/>
                <w14:lumOff w14:val="5000"/>
              </w14:schemeClr>
            </w14:solidFill>
          </w14:textFill>
        </w:rPr>
        <w:t>18-017</w:t>
      </w:r>
      <w:r>
        <w:rPr>
          <w:rFonts w:hint="eastAsia" w:ascii="仿宋_GB2312" w:hAnsi="Times New Roman" w:eastAsia="仿宋_GB2312" w:cs="仿宋_GB2312"/>
          <w:color w:val="0D0D0D" w:themeColor="text1" w:themeTint="F2"/>
          <w:sz w:val="32"/>
          <w:szCs w:val="32"/>
          <w14:textFill>
            <w14:solidFill>
              <w14:schemeClr w14:val="tx1">
                <w14:lumMod w14:val="95000"/>
                <w14:lumOff w14:val="5000"/>
              </w14:schemeClr>
            </w14:solidFill>
          </w14:textFill>
        </w:rPr>
        <w:t>号</w:t>
      </w:r>
    </w:p>
    <w:p w14:paraId="257CAD7E">
      <w:pPr>
        <w:keepNext w:val="0"/>
        <w:keepLines w:val="0"/>
        <w:pageBreakBefore w:val="0"/>
        <w:widowControl w:val="0"/>
        <w:kinsoku/>
        <w:overflowPunct/>
        <w:topLinePunct w:val="0"/>
        <w:autoSpaceDE/>
        <w:autoSpaceDN/>
        <w:bidi w:val="0"/>
        <w:adjustRightInd/>
        <w:spacing w:line="320" w:lineRule="exact"/>
        <w:textAlignment w:val="auto"/>
        <w:rPr>
          <w:rFonts w:ascii="仿宋_GB2312" w:hAnsi="仿宋" w:eastAsia="仿宋_GB2312" w:cs="Times New Roman"/>
          <w:color w:val="0D0D0D" w:themeColor="text1" w:themeTint="F2"/>
          <w:sz w:val="32"/>
          <w:szCs w:val="32"/>
          <w:u w:val="single"/>
          <w14:textFill>
            <w14:solidFill>
              <w14:schemeClr w14:val="tx1">
                <w14:lumMod w14:val="95000"/>
                <w14:lumOff w14:val="5000"/>
              </w14:schemeClr>
            </w14:solidFill>
          </w14:textFill>
        </w:rPr>
      </w:pPr>
      <w:r>
        <w:rPr>
          <w:rFonts w:hint="eastAsia" w:ascii="仿宋_GB2312" w:hAnsi="仿宋" w:eastAsia="仿宋_GB2312" w:cs="仿宋_GB2312"/>
          <w:color w:val="0D0D0D" w:themeColor="text1" w:themeTint="F2"/>
          <w:kern w:val="1"/>
          <w:sz w:val="32"/>
          <w:szCs w:val="32"/>
          <w14:textFill>
            <w14:solidFill>
              <w14:schemeClr w14:val="tx1">
                <w14:lumMod w14:val="95000"/>
                <w14:lumOff w14:val="5000"/>
              </w14:schemeClr>
            </w14:solidFill>
          </w14:textFill>
        </w:rPr>
        <w:t>当事人：</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r>
        <w:rPr>
          <w:rFonts w:hint="eastAsia" w:ascii="仿宋_GB2312" w:hAnsi="仿宋" w:eastAsia="仿宋_GB2312" w:cs="仿宋"/>
          <w:color w:val="0D0D0D" w:themeColor="text1" w:themeTint="F2"/>
          <w:sz w:val="32"/>
          <w:szCs w:val="32"/>
          <w:u w:val="single"/>
          <w:lang w:val="en-US" w:eastAsia="zh-CN"/>
          <w14:textFill>
            <w14:solidFill>
              <w14:schemeClr w14:val="tx1">
                <w14:lumMod w14:val="95000"/>
                <w14:lumOff w14:val="5000"/>
              </w14:schemeClr>
            </w14:solidFill>
          </w14:textFill>
        </w:rPr>
        <w:t xml:space="preserve"> 泉州市南粿林食品有限公司</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r>
        <w:rPr>
          <w:rFonts w:hint="eastAsia" w:ascii="仿宋_GB2312" w:hAnsi="仿宋" w:eastAsia="仿宋_GB2312" w:cs="仿宋_GB2312"/>
          <w:color w:val="0D0D0D" w:themeColor="text1" w:themeTint="F2"/>
          <w:kern w:val="1"/>
          <w:sz w:val="32"/>
          <w:szCs w:val="32"/>
          <w:u w:val="single"/>
          <w:lang w:val="en-US" w:eastAsia="zh-CN"/>
          <w14:textFill>
            <w14:solidFill>
              <w14:schemeClr w14:val="tx1">
                <w14:lumMod w14:val="95000"/>
                <w14:lumOff w14:val="5000"/>
              </w14:schemeClr>
            </w14:solidFill>
          </w14:textFill>
        </w:rPr>
        <w:t xml:space="preserve">  </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p>
    <w:p w14:paraId="36960F5C">
      <w:pPr>
        <w:keepNext w:val="0"/>
        <w:keepLines w:val="0"/>
        <w:pageBreakBefore w:val="0"/>
        <w:widowControl w:val="0"/>
        <w:kinsoku/>
        <w:overflowPunct/>
        <w:topLinePunct w:val="0"/>
        <w:autoSpaceDE/>
        <w:autoSpaceDN/>
        <w:bidi w:val="0"/>
        <w:adjustRightInd/>
        <w:spacing w:line="320" w:lineRule="exact"/>
        <w:ind w:left="140" w:hanging="140"/>
        <w:textAlignment w:val="auto"/>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pPr>
      <w:r>
        <w:rPr>
          <w:rFonts w:hint="eastAsia" w:ascii="仿宋_GB2312" w:hAnsi="仿宋" w:eastAsia="仿宋_GB2312" w:cs="仿宋_GB2312"/>
          <w:color w:val="0D0D0D" w:themeColor="text1" w:themeTint="F2"/>
          <w:kern w:val="1"/>
          <w:sz w:val="32"/>
          <w:szCs w:val="32"/>
          <w14:textFill>
            <w14:solidFill>
              <w14:schemeClr w14:val="tx1">
                <w14:lumMod w14:val="95000"/>
                <w14:lumOff w14:val="5000"/>
              </w14:schemeClr>
            </w14:solidFill>
          </w14:textFill>
        </w:rPr>
        <w:t>主体资格证照名称：</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r>
        <w:rPr>
          <w:rFonts w:hint="eastAsia" w:ascii="仿宋_GB2312" w:hAnsi="仿宋" w:eastAsia="仿宋_GB2312" w:cs="仿宋_GB2312"/>
          <w:color w:val="0D0D0D" w:themeColor="text1" w:themeTint="F2"/>
          <w:kern w:val="1"/>
          <w:sz w:val="32"/>
          <w:szCs w:val="32"/>
          <w:u w:val="single"/>
          <w:lang w:val="en-US" w:eastAsia="zh-CN"/>
          <w14:textFill>
            <w14:solidFill>
              <w14:schemeClr w14:val="tx1">
                <w14:lumMod w14:val="95000"/>
                <w14:lumOff w14:val="5000"/>
              </w14:schemeClr>
            </w14:solidFill>
          </w14:textFill>
        </w:rPr>
        <w:t xml:space="preserve"> </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r>
        <w:rPr>
          <w:rFonts w:hint="eastAsia"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营业执照</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r>
        <w:rPr>
          <w:rFonts w:hint="eastAsia" w:ascii="仿宋_GB2312" w:hAnsi="仿宋" w:eastAsia="仿宋_GB2312" w:cs="仿宋_GB2312"/>
          <w:color w:val="0D0D0D" w:themeColor="text1" w:themeTint="F2"/>
          <w:kern w:val="1"/>
          <w:sz w:val="32"/>
          <w:szCs w:val="32"/>
          <w:u w:val="single"/>
          <w:lang w:val="en-US" w:eastAsia="zh-CN"/>
          <w14:textFill>
            <w14:solidFill>
              <w14:schemeClr w14:val="tx1">
                <w14:lumMod w14:val="95000"/>
                <w14:lumOff w14:val="5000"/>
              </w14:schemeClr>
            </w14:solidFill>
          </w14:textFill>
        </w:rPr>
        <w:t xml:space="preserve">   </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p>
    <w:p w14:paraId="2BE76205">
      <w:pPr>
        <w:keepNext w:val="0"/>
        <w:keepLines w:val="0"/>
        <w:pageBreakBefore w:val="0"/>
        <w:widowControl w:val="0"/>
        <w:kinsoku/>
        <w:overflowPunct/>
        <w:topLinePunct w:val="0"/>
        <w:autoSpaceDE/>
        <w:autoSpaceDN/>
        <w:bidi w:val="0"/>
        <w:adjustRightInd/>
        <w:spacing w:line="320" w:lineRule="exact"/>
        <w:ind w:left="140" w:hanging="140"/>
        <w:textAlignment w:val="auto"/>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pPr>
      <w:r>
        <w:rPr>
          <w:rFonts w:hint="eastAsia" w:ascii="仿宋_GB2312" w:hAnsi="仿宋" w:eastAsia="仿宋_GB2312" w:cs="仿宋_GB2312"/>
          <w:color w:val="0D0D0D" w:themeColor="text1" w:themeTint="F2"/>
          <w:kern w:val="1"/>
          <w:sz w:val="32"/>
          <w:szCs w:val="32"/>
          <w14:textFill>
            <w14:solidFill>
              <w14:schemeClr w14:val="tx1">
                <w14:lumMod w14:val="95000"/>
                <w14:lumOff w14:val="5000"/>
              </w14:schemeClr>
            </w14:solidFill>
          </w14:textFill>
        </w:rPr>
        <w:t>统一社会信用代码（注册号）：</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r>
        <w:rPr>
          <w:rFonts w:hint="eastAsia" w:ascii="仿宋_GB2312" w:hAnsi="仿宋" w:eastAsia="仿宋_GB2312" w:cs="仿宋"/>
          <w:color w:val="0D0D0D" w:themeColor="text1" w:themeTint="F2"/>
          <w:sz w:val="32"/>
          <w:szCs w:val="32"/>
          <w:u w:val="single"/>
          <w:lang w:val="en-US" w:eastAsia="zh-CN"/>
          <w14:textFill>
            <w14:solidFill>
              <w14:schemeClr w14:val="tx1">
                <w14:lumMod w14:val="95000"/>
                <w14:lumOff w14:val="5000"/>
              </w14:schemeClr>
            </w14:solidFill>
          </w14:textFill>
        </w:rPr>
        <w:t xml:space="preserve"> </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r>
        <w:rPr>
          <w:rFonts w:hint="eastAsia"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91350582MA34AQ79XL</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r>
        <w:rPr>
          <w:rFonts w:hint="eastAsia" w:ascii="仿宋_GB2312" w:hAnsi="仿宋" w:eastAsia="仿宋_GB2312" w:cs="仿宋_GB2312"/>
          <w:color w:val="0D0D0D" w:themeColor="text1" w:themeTint="F2"/>
          <w:kern w:val="1"/>
          <w:sz w:val="32"/>
          <w:szCs w:val="32"/>
          <w:u w:val="single"/>
          <w:lang w:val="en-US" w:eastAsia="zh-CN"/>
          <w14:textFill>
            <w14:solidFill>
              <w14:schemeClr w14:val="tx1">
                <w14:lumMod w14:val="95000"/>
                <w14:lumOff w14:val="5000"/>
              </w14:schemeClr>
            </w14:solidFill>
          </w14:textFill>
        </w:rPr>
        <w:t xml:space="preserve">   </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p>
    <w:p w14:paraId="48F76985">
      <w:pPr>
        <w:keepNext w:val="0"/>
        <w:keepLines w:val="0"/>
        <w:pageBreakBefore w:val="0"/>
        <w:widowControl w:val="0"/>
        <w:kinsoku/>
        <w:overflowPunct/>
        <w:topLinePunct w:val="0"/>
        <w:autoSpaceDE/>
        <w:autoSpaceDN/>
        <w:bidi w:val="0"/>
        <w:adjustRightInd/>
        <w:spacing w:line="320" w:lineRule="exact"/>
        <w:textAlignment w:val="auto"/>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pPr>
      <w:r>
        <w:rPr>
          <w:rFonts w:hint="eastAsia" w:ascii="仿宋_GB2312" w:hAnsi="仿宋" w:eastAsia="仿宋_GB2312" w:cs="仿宋_GB2312"/>
          <w:color w:val="0D0D0D" w:themeColor="text1" w:themeTint="F2"/>
          <w:kern w:val="1"/>
          <w:sz w:val="32"/>
          <w:szCs w:val="32"/>
          <w:lang w:eastAsia="zh-CN"/>
          <w14:textFill>
            <w14:solidFill>
              <w14:schemeClr w14:val="tx1">
                <w14:lumMod w14:val="95000"/>
                <w14:lumOff w14:val="5000"/>
              </w14:schemeClr>
            </w14:solidFill>
          </w14:textFill>
        </w:rPr>
        <w:t>经营场所</w:t>
      </w:r>
      <w:r>
        <w:rPr>
          <w:rFonts w:hint="eastAsia" w:ascii="仿宋_GB2312" w:hAnsi="仿宋" w:eastAsia="仿宋_GB2312" w:cs="仿宋_GB2312"/>
          <w:color w:val="0D0D0D" w:themeColor="text1" w:themeTint="F2"/>
          <w:kern w:val="1"/>
          <w:sz w:val="32"/>
          <w:szCs w:val="32"/>
          <w14:textFill>
            <w14:solidFill>
              <w14:schemeClr w14:val="tx1">
                <w14:lumMod w14:val="95000"/>
                <w14:lumOff w14:val="5000"/>
              </w14:schemeClr>
            </w14:solidFill>
          </w14:textFill>
        </w:rPr>
        <w:t>：</w:t>
      </w:r>
      <w:r>
        <w:rPr>
          <w:rFonts w:hint="eastAsia" w:ascii="仿宋_GB2312" w:hAnsi="仿宋" w:eastAsia="仿宋_GB2312" w:cs="仿宋"/>
          <w:color w:val="0D0D0D" w:themeColor="text1" w:themeTint="F2"/>
          <w:w w:val="90"/>
          <w:sz w:val="32"/>
          <w:szCs w:val="32"/>
          <w:u w:val="single"/>
          <w:lang w:val="en-US" w:eastAsia="zh-CN"/>
          <w14:textFill>
            <w14:solidFill>
              <w14:schemeClr w14:val="tx1">
                <w14:lumMod w14:val="95000"/>
                <w14:lumOff w14:val="5000"/>
              </w14:schemeClr>
            </w14:solidFill>
          </w14:textFill>
        </w:rPr>
        <w:t xml:space="preserve"> </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r>
        <w:rPr>
          <w:rFonts w:hint="eastAsia" w:ascii="仿宋_GB2312" w:hAnsi="仿宋" w:eastAsia="仿宋_GB2312" w:cs="仿宋_GB2312"/>
          <w:color w:val="0D0D0D" w:themeColor="text1" w:themeTint="F2"/>
          <w:kern w:val="1"/>
          <w:sz w:val="32"/>
          <w:szCs w:val="32"/>
          <w:u w:val="single"/>
          <w:lang w:val="en-US" w:eastAsia="zh-CN"/>
          <w14:textFill>
            <w14:solidFill>
              <w14:schemeClr w14:val="tx1">
                <w14:lumMod w14:val="95000"/>
                <w14:lumOff w14:val="5000"/>
              </w14:schemeClr>
            </w14:solidFill>
          </w14:textFill>
        </w:rPr>
        <w:t>********************************</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r>
        <w:rPr>
          <w:rFonts w:hint="eastAsia" w:ascii="仿宋_GB2312" w:hAnsi="仿宋" w:eastAsia="仿宋_GB2312" w:cs="仿宋_GB2312"/>
          <w:color w:val="0D0D0D" w:themeColor="text1" w:themeTint="F2"/>
          <w:kern w:val="1"/>
          <w:sz w:val="32"/>
          <w:szCs w:val="32"/>
          <w:u w:val="single"/>
          <w:lang w:val="en-US" w:eastAsia="zh-CN"/>
          <w14:textFill>
            <w14:solidFill>
              <w14:schemeClr w14:val="tx1">
                <w14:lumMod w14:val="95000"/>
                <w14:lumOff w14:val="5000"/>
              </w14:schemeClr>
            </w14:solidFill>
          </w14:textFill>
        </w:rPr>
        <w:t xml:space="preserve">  </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p>
    <w:p w14:paraId="31C506C7">
      <w:pPr>
        <w:keepNext w:val="0"/>
        <w:keepLines w:val="0"/>
        <w:pageBreakBefore w:val="0"/>
        <w:widowControl w:val="0"/>
        <w:kinsoku/>
        <w:overflowPunct/>
        <w:topLinePunct w:val="0"/>
        <w:autoSpaceDE/>
        <w:autoSpaceDN/>
        <w:bidi w:val="0"/>
        <w:adjustRightInd/>
        <w:spacing w:line="320" w:lineRule="exact"/>
        <w:ind w:left="140" w:hanging="140"/>
        <w:textAlignment w:val="auto"/>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pPr>
      <w:r>
        <w:rPr>
          <w:rFonts w:hint="eastAsia" w:ascii="仿宋_GB2312" w:hAnsi="仿宋" w:eastAsia="仿宋_GB2312" w:cs="仿宋_GB2312"/>
          <w:color w:val="0D0D0D" w:themeColor="text1" w:themeTint="F2"/>
          <w:kern w:val="1"/>
          <w:sz w:val="32"/>
          <w:szCs w:val="32"/>
          <w14:textFill>
            <w14:solidFill>
              <w14:schemeClr w14:val="tx1">
                <w14:lumMod w14:val="95000"/>
                <w14:lumOff w14:val="5000"/>
              </w14:schemeClr>
            </w14:solidFill>
          </w14:textFill>
        </w:rPr>
        <w:t>法定代表人（负责人、经营者）：</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r>
        <w:rPr>
          <w:rFonts w:hint="eastAsia" w:ascii="仿宋_GB2312" w:hAnsi="仿宋" w:eastAsia="仿宋_GB2312" w:cs="仿宋"/>
          <w:color w:val="0D0D0D" w:themeColor="text1" w:themeTint="F2"/>
          <w:sz w:val="32"/>
          <w:szCs w:val="32"/>
          <w:u w:val="single"/>
          <w:lang w:val="en-US" w:eastAsia="zh-CN"/>
          <w14:textFill>
            <w14:solidFill>
              <w14:schemeClr w14:val="tx1">
                <w14:lumMod w14:val="95000"/>
                <w14:lumOff w14:val="5000"/>
              </w14:schemeClr>
            </w14:solidFill>
          </w14:textFill>
        </w:rPr>
        <w:t xml:space="preserve"> </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r>
        <w:rPr>
          <w:rFonts w:hint="eastAsia"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姚爱粦</w:t>
      </w:r>
      <w:r>
        <w:rPr>
          <w:rFonts w:hint="eastAsia" w:ascii="仿宋_GB2312" w:hAnsi="仿宋" w:eastAsia="仿宋_GB2312" w:cs="仿宋_GB2312"/>
          <w:color w:val="0D0D0D" w:themeColor="text1" w:themeTint="F2"/>
          <w:kern w:val="1"/>
          <w:sz w:val="32"/>
          <w:szCs w:val="32"/>
          <w:u w:val="single"/>
          <w:lang w:val="en-US" w:eastAsia="zh-CN"/>
          <w14:textFill>
            <w14:solidFill>
              <w14:schemeClr w14:val="tx1">
                <w14:lumMod w14:val="95000"/>
                <w14:lumOff w14:val="5000"/>
              </w14:schemeClr>
            </w14:solidFill>
          </w14:textFill>
        </w:rPr>
        <w:t xml:space="preserve"> </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r>
        <w:rPr>
          <w:rFonts w:hint="eastAsia" w:ascii="仿宋_GB2312" w:hAnsi="仿宋" w:eastAsia="仿宋_GB2312" w:cs="仿宋_GB2312"/>
          <w:color w:val="0D0D0D" w:themeColor="text1" w:themeTint="F2"/>
          <w:kern w:val="1"/>
          <w:sz w:val="32"/>
          <w:szCs w:val="32"/>
          <w:u w:val="single"/>
          <w:lang w:val="en-US" w:eastAsia="zh-CN"/>
          <w14:textFill>
            <w14:solidFill>
              <w14:schemeClr w14:val="tx1">
                <w14:lumMod w14:val="95000"/>
                <w14:lumOff w14:val="5000"/>
              </w14:schemeClr>
            </w14:solidFill>
          </w14:textFill>
        </w:rPr>
        <w:t xml:space="preserve">  </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r>
        <w:rPr>
          <w:rFonts w:hint="eastAsia" w:ascii="仿宋_GB2312" w:hAnsi="仿宋" w:eastAsia="仿宋_GB2312" w:cs="仿宋_GB2312"/>
          <w:color w:val="0D0D0D" w:themeColor="text1" w:themeTint="F2"/>
          <w:kern w:val="1"/>
          <w:sz w:val="32"/>
          <w:szCs w:val="32"/>
          <w:u w:val="single"/>
          <w:lang w:val="en-US" w:eastAsia="zh-CN"/>
          <w14:textFill>
            <w14:solidFill>
              <w14:schemeClr w14:val="tx1">
                <w14:lumMod w14:val="95000"/>
                <w14:lumOff w14:val="5000"/>
              </w14:schemeClr>
            </w14:solidFill>
          </w14:textFill>
        </w:rPr>
        <w:t xml:space="preserve">  </w:t>
      </w:r>
      <w:r>
        <w:rPr>
          <w:rFonts w:ascii="仿宋_GB2312" w:hAnsi="仿宋" w:eastAsia="仿宋_GB2312" w:cs="仿宋_GB2312"/>
          <w:color w:val="0D0D0D" w:themeColor="text1" w:themeTint="F2"/>
          <w:kern w:val="1"/>
          <w:sz w:val="32"/>
          <w:szCs w:val="32"/>
          <w:u w:val="single"/>
          <w14:textFill>
            <w14:solidFill>
              <w14:schemeClr w14:val="tx1">
                <w14:lumMod w14:val="95000"/>
                <w14:lumOff w14:val="5000"/>
              </w14:schemeClr>
            </w14:solidFill>
          </w14:textFill>
        </w:rPr>
        <w:t xml:space="preserve">   </w:t>
      </w:r>
    </w:p>
    <w:p w14:paraId="47CF74DA">
      <w:pPr>
        <w:keepNext w:val="0"/>
        <w:keepLines w:val="0"/>
        <w:pageBreakBefore w:val="0"/>
        <w:widowControl w:val="0"/>
        <w:kinsoku/>
        <w:wordWrap/>
        <w:overflowPunct/>
        <w:topLinePunct w:val="0"/>
        <w:autoSpaceDE/>
        <w:autoSpaceDN/>
        <w:bidi w:val="0"/>
        <w:adjustRightInd/>
        <w:snapToGrid w:val="0"/>
        <w:spacing w:line="320" w:lineRule="exact"/>
        <w:ind w:firstLine="640" w:firstLineChars="200"/>
        <w:textAlignment w:val="auto"/>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pP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2026年3月2日我所执法人员根据瑞安市市</w:t>
      </w:r>
      <w:bookmarkStart w:id="0" w:name="_GoBack"/>
      <w:bookmarkEnd w:id="0"/>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场监督管理局线索移送函（瑞市监案移〔2026〕TX002号）线索依法对当事人进行检查，情况如下：1.当事人正常生产经营，营业执照及食品生产许可证在有效期内；2.执法人员现场检查当事人生产车间、成品仓库未发现“山楂鸡内金软糖</w:t>
      </w:r>
      <w:r>
        <w:rPr>
          <w:rFonts w:hint="eastAsia"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批次：20251103）库存，检查当事人留样柜发现该批次产品留样3瓶；3.检查仓库发现两捆上述产品的标签和该产品原材料8Kg；4.现场检查当事人生产上述批次产品的出入库情况及原材料采购，当事人能提供上述材料；5.查询当事人“福建省食品安全追溯系统”未查找到该批次产品录入信息；6.执法人员依法对上述3瓶样品进行监督送检。2026年3月16日执法人员依法前往当事人经营场所送达晋江市质量计量检测所《检验报告》（报告编号：NO2026（SPC）3016），报告显示当事人生产的“山楂鸡内金软糖</w:t>
      </w:r>
      <w:r>
        <w:rPr>
          <w:rFonts w:hint="eastAsia"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批次：20251103）（净含量60g，生产日期：2025.11.03）蛋白质检验结果为0.28g/100g，指标≧17.9（标示值：22.4），检验结果及结论为该样品不合格（不合格项目：营养标签蛋白质的标示），当事人现场签收完后无异议，不提出复检。执法人员监督当事人对两捆上述产品的标签进行销毁。当事人涉嫌生产经营的食品标签不符合规定及未按规定上传食品安全追溯信息行为，违反《中华人民共和国食品安全法》第七十一条第一款、《福建省食品安全信息追溯管理办法》第二十二条第一款第一项之规定。即报领导批准于2026年3月16日予以立案调查，现场未采取扣押行政强制措施。</w:t>
      </w:r>
    </w:p>
    <w:p w14:paraId="2A7BC55B">
      <w:pPr>
        <w:keepNext w:val="0"/>
        <w:keepLines w:val="0"/>
        <w:pageBreakBefore w:val="0"/>
        <w:widowControl w:val="0"/>
        <w:kinsoku/>
        <w:wordWrap/>
        <w:overflowPunct/>
        <w:topLinePunct w:val="0"/>
        <w:autoSpaceDE/>
        <w:autoSpaceDN/>
        <w:bidi w:val="0"/>
        <w:adjustRightInd/>
        <w:snapToGrid w:val="0"/>
        <w:spacing w:line="320" w:lineRule="exact"/>
        <w:ind w:firstLine="640" w:firstLineChars="200"/>
        <w:textAlignment w:val="auto"/>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pP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经查实，当事人于202</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5</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年</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11</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月</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3</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日共生产了</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30</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瓶</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“山楂鸡内金软糖</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”（净含量60g</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/瓶</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其标签标识为：“ 产品名称：山楂鸡内金软糖，产品类型：凝胶糖果；配料：麦芽糖浆、果胶、……；生产日期：2025.11.03；保质期</w:t>
      </w:r>
      <w:r>
        <w:rPr>
          <w:rFonts w:hint="eastAsia"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18个月；食品生产许可证编号：SC11735058206902；生产企业：</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泉州市南粿林食品公司（分装）；生产地址：福建省泉州市晋江市西园街道赖厝北区290号；营养成分表中的蛋白质标示为</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22.4g，占比37％”等信息，其中3瓶用于自检，3瓶留样，共销售24 瓶（规格：60g/瓶×12瓶/箱），</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上述产品</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的</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成本核算12瓶/每箱为24.5元，两箱为49元；产品均销售给乐清市柳市保鑫保健品商行，每箱售价26.5元，共计 53 元。</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当事人根据</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产品</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标签不符合规定的食品召回制度，202</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6</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年</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3</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月</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2</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日启动召回程序，对</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经销商</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发出召回通知，召回为零</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至案发时</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当事人生产标签不符合规定食品案货值金额</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共计</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66.25</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元，</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销售金额</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53元，成本49元，获利4元，即</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违法所得</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4</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元。</w:t>
      </w:r>
    </w:p>
    <w:p w14:paraId="64A83235">
      <w:pPr>
        <w:keepNext w:val="0"/>
        <w:keepLines w:val="0"/>
        <w:pageBreakBefore w:val="0"/>
        <w:widowControl w:val="0"/>
        <w:kinsoku/>
        <w:wordWrap/>
        <w:overflowPunct/>
        <w:topLinePunct w:val="0"/>
        <w:autoSpaceDE/>
        <w:autoSpaceDN/>
        <w:bidi w:val="0"/>
        <w:adjustRightInd/>
        <w:snapToGrid w:val="0"/>
        <w:spacing w:line="320" w:lineRule="exact"/>
        <w:ind w:firstLine="640" w:firstLineChars="200"/>
        <w:textAlignment w:val="auto"/>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pP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当事人于202</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5</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年</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11</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月</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3</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日生产</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2025年11月6日销售的山楂鸡内金软糖</w:t>
      </w:r>
      <w:r>
        <w:rPr>
          <w:rFonts w:hint="eastAsia"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批次：20251103）</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未按要求进行《福建省食品生产经营追溯管理系统》上传食品安全追溯信息，当事人于202</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6</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年</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3</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月6日已改正上述违法行为。上述事实，主要有以下证据证明：</w:t>
      </w:r>
    </w:p>
    <w:p w14:paraId="24F88757">
      <w:pPr>
        <w:keepNext w:val="0"/>
        <w:keepLines w:val="0"/>
        <w:pageBreakBefore w:val="0"/>
        <w:widowControl w:val="0"/>
        <w:kinsoku/>
        <w:wordWrap/>
        <w:overflowPunct/>
        <w:topLinePunct w:val="0"/>
        <w:autoSpaceDE/>
        <w:autoSpaceDN/>
        <w:bidi w:val="0"/>
        <w:adjustRightInd/>
        <w:snapToGrid w:val="0"/>
        <w:spacing w:line="320" w:lineRule="exact"/>
        <w:ind w:firstLine="640" w:firstLineChars="200"/>
        <w:textAlignment w:val="auto"/>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pP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 xml:space="preserve">1. </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线索移送函、</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现场检查笔录</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、现场照片</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，证明当事人案件来源及现场检查</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情况</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 xml:space="preserve">的事实；                            </w:t>
      </w:r>
    </w:p>
    <w:p w14:paraId="24880969">
      <w:pPr>
        <w:keepNext w:val="0"/>
        <w:keepLines w:val="0"/>
        <w:pageBreakBefore w:val="0"/>
        <w:widowControl w:val="0"/>
        <w:kinsoku/>
        <w:wordWrap/>
        <w:overflowPunct/>
        <w:topLinePunct w:val="0"/>
        <w:autoSpaceDE/>
        <w:autoSpaceDN/>
        <w:bidi w:val="0"/>
        <w:adjustRightInd/>
        <w:snapToGrid w:val="0"/>
        <w:spacing w:line="320" w:lineRule="exact"/>
        <w:ind w:firstLine="640" w:firstLineChars="200"/>
        <w:textAlignment w:val="auto"/>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pP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2. 询问笔录、出入库台账、供货单</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原</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材</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料</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和标签材料</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进货台账、成本核算表，证明涉案食品标签不符合规定的</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生产</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数量、货值、</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获利</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 xml:space="preserve">的事实；                                            </w:t>
      </w:r>
    </w:p>
    <w:p w14:paraId="6880E5E8">
      <w:pPr>
        <w:keepNext w:val="0"/>
        <w:keepLines w:val="0"/>
        <w:pageBreakBefore w:val="0"/>
        <w:widowControl w:val="0"/>
        <w:kinsoku/>
        <w:wordWrap/>
        <w:overflowPunct/>
        <w:topLinePunct w:val="0"/>
        <w:autoSpaceDE/>
        <w:autoSpaceDN/>
        <w:bidi w:val="0"/>
        <w:adjustRightInd/>
        <w:snapToGrid w:val="0"/>
        <w:spacing w:line="320" w:lineRule="exact"/>
        <w:ind w:firstLine="640" w:firstLineChars="200"/>
        <w:textAlignment w:val="auto"/>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pP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3. 营业执照复印件、食品生产许可证复印件</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身份证复印件</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、授权委托书及授权照片</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 xml:space="preserve"> </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，证明当事人的身份及资质；</w:t>
      </w:r>
    </w:p>
    <w:p w14:paraId="319F6BCF">
      <w:pPr>
        <w:keepNext w:val="0"/>
        <w:keepLines w:val="0"/>
        <w:pageBreakBefore w:val="0"/>
        <w:widowControl w:val="0"/>
        <w:kinsoku/>
        <w:wordWrap/>
        <w:overflowPunct/>
        <w:topLinePunct w:val="0"/>
        <w:autoSpaceDE/>
        <w:autoSpaceDN/>
        <w:bidi w:val="0"/>
        <w:adjustRightInd/>
        <w:snapToGrid w:val="0"/>
        <w:spacing w:line="320" w:lineRule="exact"/>
        <w:ind w:firstLine="640" w:firstLineChars="200"/>
        <w:textAlignment w:val="auto"/>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pPr>
      <w:r>
        <w:rPr>
          <w:rFonts w:hint="eastAsia"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4.</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召回情况、召回公告、召回计划报告表，证明当事人涉案产品执行产品的召回情况、结果的事实；</w:t>
      </w:r>
    </w:p>
    <w:p w14:paraId="751D9C6A">
      <w:pPr>
        <w:keepNext w:val="0"/>
        <w:keepLines w:val="0"/>
        <w:pageBreakBefore w:val="0"/>
        <w:widowControl w:val="0"/>
        <w:kinsoku/>
        <w:wordWrap/>
        <w:overflowPunct/>
        <w:topLinePunct w:val="0"/>
        <w:autoSpaceDE/>
        <w:autoSpaceDN/>
        <w:bidi w:val="0"/>
        <w:adjustRightInd/>
        <w:snapToGrid w:val="0"/>
        <w:spacing w:line="320" w:lineRule="exact"/>
        <w:ind w:firstLine="640" w:firstLineChars="200"/>
        <w:textAlignment w:val="auto"/>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pPr>
      <w:r>
        <w:rPr>
          <w:rFonts w:hint="eastAsia"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5.</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出厂检验报告</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单</w:t>
      </w:r>
      <w:r>
        <w:rPr>
          <w:rFonts w:hint="eastAsia"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编号：NGLS(2025)00419</w:t>
      </w:r>
      <w:r>
        <w:rPr>
          <w:rFonts w:hint="eastAsia"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和产品检验报告（报告编号：</w:t>
      </w:r>
      <w:r>
        <w:rPr>
          <w:rFonts w:hint="default"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FSA25061603N</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，证明涉案产品为合格产品的事实；</w:t>
      </w:r>
    </w:p>
    <w:p w14:paraId="056D76D0">
      <w:pPr>
        <w:keepNext w:val="0"/>
        <w:keepLines w:val="0"/>
        <w:pageBreakBefore w:val="0"/>
        <w:widowControl w:val="0"/>
        <w:kinsoku/>
        <w:wordWrap/>
        <w:overflowPunct/>
        <w:topLinePunct w:val="0"/>
        <w:autoSpaceDE/>
        <w:autoSpaceDN/>
        <w:bidi w:val="0"/>
        <w:adjustRightInd/>
        <w:snapToGrid w:val="0"/>
        <w:spacing w:line="320" w:lineRule="exact"/>
        <w:ind w:firstLine="640" w:firstLineChars="200"/>
        <w:textAlignment w:val="auto"/>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pPr>
      <w:r>
        <w:rPr>
          <w:rFonts w:hint="eastAsia" w:ascii="Times New Roman" w:hAnsi="Times New Roman" w:eastAsia="仿宋_GB2312" w:cs="Times New Roman"/>
          <w:color w:val="0D0D0D" w:themeColor="text1" w:themeTint="F2"/>
          <w:sz w:val="32"/>
          <w:szCs w:val="32"/>
          <w:lang w:val="en-US" w:eastAsia="zh-CN"/>
          <w14:textFill>
            <w14:solidFill>
              <w14:schemeClr w14:val="tx1">
                <w14:lumMod w14:val="95000"/>
                <w14:lumOff w14:val="5000"/>
              </w14:schemeClr>
            </w14:solidFill>
          </w14:textFill>
        </w:rPr>
        <w:t>6.</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整改报告</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和</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《福建省食品生产经营追溯管理系统》上传食品安全追溯</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录入</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信息</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截图，</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证明当事人涉案产品外包装标签标识</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和未录</w:t>
      </w: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食品安全追溯信息已整改事实</w:t>
      </w:r>
      <w:r>
        <w:rPr>
          <w:rFonts w:hint="default"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w:t>
      </w:r>
    </w:p>
    <w:p w14:paraId="4E30AA4B">
      <w:pPr>
        <w:keepNext w:val="0"/>
        <w:keepLines w:val="0"/>
        <w:pageBreakBefore w:val="0"/>
        <w:widowControl w:val="0"/>
        <w:kinsoku/>
        <w:wordWrap/>
        <w:overflowPunct/>
        <w:topLinePunct w:val="0"/>
        <w:autoSpaceDE/>
        <w:autoSpaceDN/>
        <w:bidi w:val="0"/>
        <w:adjustRightInd/>
        <w:snapToGrid/>
        <w:spacing w:line="320" w:lineRule="exact"/>
        <w:ind w:firstLine="640" w:firstLineChars="200"/>
        <w:jc w:val="both"/>
        <w:textAlignment w:val="auto"/>
        <w:rPr>
          <w:rFonts w:hint="default" w:ascii="Times New Roman" w:hAnsi="Times New Roman" w:eastAsia="仿宋_GB2312" w:cs="Times New Roman"/>
          <w:color w:val="0D0D0D" w:themeColor="text1" w:themeTint="F2"/>
          <w:sz w:val="32"/>
          <w:szCs w:val="32"/>
          <w:u w:val="none"/>
          <w:lang w:val="en-US" w:eastAsia="zh-CN"/>
          <w14:textFill>
            <w14:solidFill>
              <w14:schemeClr w14:val="tx1">
                <w14:lumMod w14:val="95000"/>
                <w14:lumOff w14:val="5000"/>
              </w14:schemeClr>
            </w14:solidFill>
          </w14:textFill>
        </w:rPr>
      </w:pPr>
      <w:r>
        <w:rPr>
          <w:rFonts w:hint="eastAsia" w:ascii="Times New Roman" w:hAnsi="Times New Roman" w:eastAsia="仿宋_GB2312" w:cs="Times New Roman"/>
          <w:b w:val="0"/>
          <w:bCs w:val="0"/>
          <w:color w:val="0D0D0D" w:themeColor="text1" w:themeTint="F2"/>
          <w:sz w:val="32"/>
          <w:szCs w:val="32"/>
          <w:u w:val="none"/>
          <w:lang w:val="en-US" w:eastAsia="zh-CN"/>
          <w14:textFill>
            <w14:solidFill>
              <w14:schemeClr w14:val="tx1">
                <w14:lumMod w14:val="95000"/>
                <w14:lumOff w14:val="5000"/>
              </w14:schemeClr>
            </w14:solidFill>
          </w14:textFill>
        </w:rPr>
        <w:t>2026年4月2日</w:t>
      </w:r>
      <w:r>
        <w:rPr>
          <w:rFonts w:hint="default" w:ascii="Times New Roman" w:hAnsi="Times New Roman" w:eastAsia="仿宋_GB2312" w:cs="Times New Roman"/>
          <w:color w:val="0D0D0D" w:themeColor="text1" w:themeTint="F2"/>
          <w:sz w:val="32"/>
          <w:szCs w:val="32"/>
          <w:u w:val="none"/>
          <w:lang w:val="en-US" w:eastAsia="zh-CN"/>
          <w14:textFill>
            <w14:solidFill>
              <w14:schemeClr w14:val="tx1">
                <w14:lumMod w14:val="95000"/>
                <w14:lumOff w14:val="5000"/>
              </w14:schemeClr>
            </w14:solidFill>
          </w14:textFill>
        </w:rPr>
        <w:t>，本局向当事人送达了《行政处罚告知书》（晋市监罚告〔202</w:t>
      </w:r>
      <w:r>
        <w:rPr>
          <w:rFonts w:hint="eastAsia" w:ascii="Times New Roman" w:hAnsi="Times New Roman" w:eastAsia="仿宋_GB2312" w:cs="Times New Roman"/>
          <w:color w:val="0D0D0D" w:themeColor="text1" w:themeTint="F2"/>
          <w:sz w:val="32"/>
          <w:szCs w:val="32"/>
          <w:u w:val="none"/>
          <w:lang w:val="en-US" w:eastAsia="zh-CN"/>
          <w14:textFill>
            <w14:solidFill>
              <w14:schemeClr w14:val="tx1">
                <w14:lumMod w14:val="95000"/>
                <w14:lumOff w14:val="5000"/>
              </w14:schemeClr>
            </w14:solidFill>
          </w14:textFill>
        </w:rPr>
        <w:t>6</w:t>
      </w:r>
      <w:r>
        <w:rPr>
          <w:rFonts w:hint="default" w:ascii="Times New Roman" w:hAnsi="Times New Roman" w:eastAsia="仿宋_GB2312" w:cs="Times New Roman"/>
          <w:color w:val="0D0D0D" w:themeColor="text1" w:themeTint="F2"/>
          <w:sz w:val="32"/>
          <w:szCs w:val="32"/>
          <w:u w:val="none"/>
          <w:lang w:val="en-US" w:eastAsia="zh-CN"/>
          <w14:textFill>
            <w14:solidFill>
              <w14:schemeClr w14:val="tx1">
                <w14:lumMod w14:val="95000"/>
                <w14:lumOff w14:val="5000"/>
              </w14:schemeClr>
            </w14:solidFill>
          </w14:textFill>
        </w:rPr>
        <w:t>〕18-</w:t>
      </w:r>
      <w:r>
        <w:rPr>
          <w:rFonts w:hint="eastAsia" w:ascii="Times New Roman" w:hAnsi="Times New Roman" w:eastAsia="仿宋_GB2312" w:cs="Times New Roman"/>
          <w:color w:val="0D0D0D" w:themeColor="text1" w:themeTint="F2"/>
          <w:sz w:val="32"/>
          <w:szCs w:val="32"/>
          <w:u w:val="none"/>
          <w:lang w:val="en-US" w:eastAsia="zh-CN"/>
          <w14:textFill>
            <w14:solidFill>
              <w14:schemeClr w14:val="tx1">
                <w14:lumMod w14:val="95000"/>
                <w14:lumOff w14:val="5000"/>
              </w14:schemeClr>
            </w14:solidFill>
          </w14:textFill>
        </w:rPr>
        <w:t>040201</w:t>
      </w:r>
      <w:r>
        <w:rPr>
          <w:rFonts w:hint="default" w:ascii="Times New Roman" w:hAnsi="Times New Roman" w:eastAsia="仿宋_GB2312" w:cs="Times New Roman"/>
          <w:color w:val="0D0D0D" w:themeColor="text1" w:themeTint="F2"/>
          <w:sz w:val="32"/>
          <w:szCs w:val="32"/>
          <w:u w:val="none"/>
          <w:lang w:val="en-US" w:eastAsia="zh-CN"/>
          <w14:textFill>
            <w14:solidFill>
              <w14:schemeClr w14:val="tx1">
                <w14:lumMod w14:val="95000"/>
                <w14:lumOff w14:val="5000"/>
              </w14:schemeClr>
            </w14:solidFill>
          </w14:textFill>
        </w:rPr>
        <w:t>号），当事人在法定期限内未提出</w:t>
      </w:r>
      <w:r>
        <w:rPr>
          <w:rFonts w:hint="eastAsia" w:ascii="Times New Roman" w:hAnsi="Times New Roman" w:eastAsia="仿宋_GB2312" w:cs="Times New Roman"/>
          <w:color w:val="0D0D0D" w:themeColor="text1" w:themeTint="F2"/>
          <w:sz w:val="32"/>
          <w:szCs w:val="32"/>
          <w:u w:val="none"/>
          <w:lang w:val="en-US" w:eastAsia="zh-CN"/>
          <w14:textFill>
            <w14:solidFill>
              <w14:schemeClr w14:val="tx1">
                <w14:lumMod w14:val="95000"/>
                <w14:lumOff w14:val="5000"/>
              </w14:schemeClr>
            </w14:solidFill>
          </w14:textFill>
        </w:rPr>
        <w:t>陈述</w:t>
      </w:r>
      <w:r>
        <w:rPr>
          <w:rFonts w:hint="default" w:ascii="Times New Roman" w:hAnsi="Times New Roman" w:eastAsia="仿宋_GB2312" w:cs="Times New Roman"/>
          <w:color w:val="0D0D0D" w:themeColor="text1" w:themeTint="F2"/>
          <w:sz w:val="32"/>
          <w:szCs w:val="32"/>
          <w:u w:val="none"/>
          <w:lang w:val="en-US" w:eastAsia="zh-CN"/>
          <w14:textFill>
            <w14:solidFill>
              <w14:schemeClr w14:val="tx1">
                <w14:lumMod w14:val="95000"/>
                <w14:lumOff w14:val="5000"/>
              </w14:schemeClr>
            </w14:solidFill>
          </w14:textFill>
        </w:rPr>
        <w:t xml:space="preserve">、申辩。                                       </w:t>
      </w:r>
    </w:p>
    <w:p w14:paraId="13FD1BD4">
      <w:pPr>
        <w:keepNext w:val="0"/>
        <w:keepLines w:val="0"/>
        <w:pageBreakBefore w:val="0"/>
        <w:widowControl w:val="0"/>
        <w:kinsoku/>
        <w:wordWrap/>
        <w:overflowPunct/>
        <w:topLinePunct w:val="0"/>
        <w:autoSpaceDE/>
        <w:autoSpaceDN/>
        <w:bidi w:val="0"/>
        <w:adjustRightInd/>
        <w:snapToGrid w:val="0"/>
        <w:spacing w:line="320" w:lineRule="exact"/>
        <w:ind w:firstLine="640" w:firstLineChars="200"/>
        <w:textAlignment w:val="auto"/>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pP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当事人生产经营的食品标签不符合规定的行为，违反了《中华人民共和国食品安全法》第七十一条第三款之规定，依据《中华人民共和国食品安全法》第一百二十五条第一款第二项的规定，予以处罚。</w:t>
      </w:r>
    </w:p>
    <w:p w14:paraId="692C4BC3">
      <w:pPr>
        <w:keepNext w:val="0"/>
        <w:keepLines w:val="0"/>
        <w:pageBreakBefore w:val="0"/>
        <w:widowControl w:val="0"/>
        <w:kinsoku/>
        <w:wordWrap/>
        <w:overflowPunct/>
        <w:topLinePunct w:val="0"/>
        <w:autoSpaceDE/>
        <w:autoSpaceDN/>
        <w:bidi w:val="0"/>
        <w:adjustRightInd/>
        <w:snapToGrid w:val="0"/>
        <w:spacing w:line="320" w:lineRule="exact"/>
        <w:ind w:firstLine="640" w:firstLineChars="200"/>
        <w:textAlignment w:val="auto"/>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pPr>
      <w:r>
        <w:rPr>
          <w:rFonts w:hint="default" w:ascii="Times New Roman" w:hAnsi="Times New Roman" w:eastAsia="仿宋_GB2312" w:cs="Times New Roman"/>
          <w:color w:val="0D0D0D" w:themeColor="text1" w:themeTint="F2"/>
          <w:sz w:val="32"/>
          <w:szCs w:val="32"/>
          <w14:textFill>
            <w14:solidFill>
              <w14:schemeClr w14:val="tx1">
                <w14:lumMod w14:val="95000"/>
                <w14:lumOff w14:val="5000"/>
              </w14:schemeClr>
            </w14:solidFill>
          </w14:textFill>
        </w:rPr>
        <w:t>当事人未按规定及时上传食品追溯信息的行为，违反了《福建省食品安全信息追溯管理办法》第二十二条第一款第一项规定，依据《福建省食品安全信息追溯管理办法》第三十条、《福建省食品安全条例》第九十八条第一款第三项的规定，予以处罚。</w:t>
      </w:r>
    </w:p>
    <w:p w14:paraId="6E04A0A0">
      <w:pPr>
        <w:keepNext w:val="0"/>
        <w:keepLines w:val="0"/>
        <w:pageBreakBefore w:val="0"/>
        <w:widowControl w:val="0"/>
        <w:kinsoku/>
        <w:wordWrap/>
        <w:overflowPunct/>
        <w:topLinePunct w:val="0"/>
        <w:autoSpaceDE/>
        <w:autoSpaceDN/>
        <w:bidi w:val="0"/>
        <w:adjustRightInd/>
        <w:snapToGrid w:val="0"/>
        <w:spacing w:line="320" w:lineRule="exact"/>
        <w:ind w:firstLine="640" w:firstLineChars="200"/>
        <w:textAlignment w:val="auto"/>
        <w:rPr>
          <w:rFonts w:hint="eastAsia"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pPr>
      <w:r>
        <w:rPr>
          <w:rFonts w:hint="eastAsia"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鉴于当事人积极配合调查、主动采取召回措施，减轻危害后果，具有《福建省市场监督管理局关于印发行政处罚裁量权的适用规则》第十条第二项规定的予以从轻行政处罚的情形，根据《福建省市场监督管理系统适用《中华人民共和国食品安全法》行政处罚裁量基准》SP-4从轻情节的规定给予处罚。</w:t>
      </w:r>
    </w:p>
    <w:p w14:paraId="0DBB5DD0">
      <w:pPr>
        <w:keepNext w:val="0"/>
        <w:keepLines w:val="0"/>
        <w:pageBreakBefore w:val="0"/>
        <w:widowControl w:val="0"/>
        <w:kinsoku/>
        <w:wordWrap/>
        <w:overflowPunct/>
        <w:topLinePunct w:val="0"/>
        <w:autoSpaceDE/>
        <w:autoSpaceDN/>
        <w:bidi w:val="0"/>
        <w:adjustRightInd/>
        <w:snapToGrid w:val="0"/>
        <w:spacing w:line="320" w:lineRule="exact"/>
        <w:ind w:firstLine="640" w:firstLineChars="200"/>
        <w:textAlignment w:val="auto"/>
        <w:rPr>
          <w:rFonts w:hint="eastAsia"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pPr>
      <w:r>
        <w:rPr>
          <w:rFonts w:hint="eastAsia" w:ascii="Times New Roman" w:hAnsi="Times New Roman" w:eastAsia="仿宋_GB2312" w:cs="Times New Roman"/>
          <w:color w:val="0D0D0D" w:themeColor="text1" w:themeTint="F2"/>
          <w:sz w:val="32"/>
          <w:szCs w:val="32"/>
          <w:lang w:eastAsia="zh-CN"/>
          <w14:textFill>
            <w14:solidFill>
              <w14:schemeClr w14:val="tx1">
                <w14:lumMod w14:val="95000"/>
                <w14:lumOff w14:val="5000"/>
              </w14:schemeClr>
            </w14:solidFill>
          </w14:textFill>
        </w:rPr>
        <w:t>对当事人未按规定及时上传食品安全追溯信息的行为，鉴于当事人已及时改正，没有造成危害后果。建议适用《泉州市市场监管领域轻微违法行为不予处罚清单（2025版）》序号174之规定，不予处罚。</w:t>
      </w:r>
    </w:p>
    <w:p w14:paraId="716BD22B">
      <w:pPr>
        <w:keepNext w:val="0"/>
        <w:keepLines w:val="0"/>
        <w:pageBreakBefore w:val="0"/>
        <w:widowControl w:val="0"/>
        <w:kinsoku/>
        <w:wordWrap/>
        <w:overflowPunct/>
        <w:topLinePunct w:val="0"/>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t>一、当事人生产经营的食品标签不符合规定的行为，依据《中华人民共和国食品安全法》第一百二十五条第一款第二项的规定，</w:t>
      </w:r>
      <w:r>
        <w:rPr>
          <w:rFonts w:hint="eastAsia" w:ascii="仿宋_GB2312" w:hAnsi="仿宋_GB2312" w:eastAsia="仿宋_GB2312" w:cs="仿宋_GB2312"/>
          <w:color w:val="0D0D0D" w:themeColor="text1" w:themeTint="F2"/>
          <w:sz w:val="32"/>
          <w:szCs w:val="32"/>
          <w:lang w:eastAsia="zh-CN"/>
          <w14:textFill>
            <w14:solidFill>
              <w14:schemeClr w14:val="tx1">
                <w14:lumMod w14:val="95000"/>
                <w14:lumOff w14:val="5000"/>
              </w14:schemeClr>
            </w14:solidFill>
          </w14:textFill>
        </w:rPr>
        <w:t>决定</w:t>
      </w:r>
      <w:r>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t>对当事人处理如下：</w:t>
      </w:r>
    </w:p>
    <w:p w14:paraId="7B784CA3">
      <w:pPr>
        <w:keepNext w:val="0"/>
        <w:keepLines w:val="0"/>
        <w:pageBreakBefore w:val="0"/>
        <w:widowControl w:val="0"/>
        <w:kinsoku/>
        <w:wordWrap/>
        <w:overflowPunct/>
        <w:topLinePunct w:val="0"/>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lang w:eastAsia="zh-CN"/>
          <w14:textFill>
            <w14:solidFill>
              <w14:schemeClr w14:val="tx1">
                <w14:lumMod w14:val="95000"/>
                <w14:lumOff w14:val="5000"/>
              </w14:schemeClr>
            </w14:solidFill>
          </w14:textFill>
        </w:rPr>
        <w:t>1.</w:t>
      </w:r>
      <w:r>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t>没收违法所得</w:t>
      </w:r>
      <w:r>
        <w:rPr>
          <w:rFonts w:hint="eastAsia" w:ascii="仿宋_GB2312" w:hAnsi="仿宋_GB2312" w:eastAsia="仿宋_GB2312" w:cs="仿宋_GB2312"/>
          <w:color w:val="0D0D0D" w:themeColor="text1" w:themeTint="F2"/>
          <w:sz w:val="32"/>
          <w:szCs w:val="32"/>
          <w:lang w:val="en-US" w:eastAsia="zh-CN"/>
          <w14:textFill>
            <w14:solidFill>
              <w14:schemeClr w14:val="tx1">
                <w14:lumMod w14:val="95000"/>
                <w14:lumOff w14:val="5000"/>
              </w14:schemeClr>
            </w14:solidFill>
          </w14:textFill>
        </w:rPr>
        <w:t>***</w:t>
      </w:r>
      <w:r>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t>元；2、处以罚款</w:t>
      </w:r>
      <w:r>
        <w:rPr>
          <w:rFonts w:hint="eastAsia" w:ascii="仿宋_GB2312" w:hAnsi="仿宋_GB2312" w:eastAsia="仿宋_GB2312" w:cs="仿宋_GB2312"/>
          <w:color w:val="0D0D0D" w:themeColor="text1" w:themeTint="F2"/>
          <w:sz w:val="32"/>
          <w:szCs w:val="32"/>
          <w:lang w:val="en-US" w:eastAsia="zh-CN"/>
          <w14:textFill>
            <w14:solidFill>
              <w14:schemeClr w14:val="tx1">
                <w14:lumMod w14:val="95000"/>
                <w14:lumOff w14:val="5000"/>
              </w14:schemeClr>
            </w14:solidFill>
          </w14:textFill>
        </w:rPr>
        <w:t>****</w:t>
      </w:r>
      <w:r>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t xml:space="preserve">元。 </w:t>
      </w:r>
    </w:p>
    <w:p w14:paraId="566AA813">
      <w:pPr>
        <w:keepNext w:val="0"/>
        <w:keepLines w:val="0"/>
        <w:pageBreakBefore w:val="0"/>
        <w:widowControl w:val="0"/>
        <w:kinsoku/>
        <w:wordWrap/>
        <w:overflowPunct/>
        <w:topLinePunct w:val="0"/>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t xml:space="preserve">二、当事人未按规定及时上传食品安全追溯信息的行为，依据《福建省食品安全条例》第九十八条第三项之规定，责令当事人改正违法行为，并作出处理如下：不予处罚。  </w:t>
      </w:r>
    </w:p>
    <w:p w14:paraId="15C640FA">
      <w:pPr>
        <w:keepNext w:val="0"/>
        <w:keepLines w:val="0"/>
        <w:pageBreakBefore w:val="0"/>
        <w:widowControl w:val="0"/>
        <w:kinsoku/>
        <w:wordWrap/>
        <w:overflowPunct/>
        <w:topLinePunct w:val="0"/>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t>三、依据《中华人民共和国行政处罚法》第三十三条的规定，对当事人进行教育。具体内容如下：</w:t>
      </w:r>
    </w:p>
    <w:p w14:paraId="4114A721">
      <w:pPr>
        <w:keepNext w:val="0"/>
        <w:keepLines w:val="0"/>
        <w:pageBreakBefore w:val="0"/>
        <w:widowControl w:val="0"/>
        <w:kinsoku/>
        <w:wordWrap/>
        <w:overflowPunct/>
        <w:topLinePunct w:val="0"/>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lang w:eastAsia="zh-CN"/>
          <w14:textFill>
            <w14:solidFill>
              <w14:schemeClr w14:val="tx1">
                <w14:lumMod w14:val="95000"/>
                <w14:lumOff w14:val="5000"/>
              </w14:schemeClr>
            </w14:solidFill>
          </w14:textFill>
        </w:rPr>
        <w:t>1.</w:t>
      </w:r>
      <w:r>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t>加强《中华人民共和国食品安全法》、《福建省食品安全条例》、《福建省食品安全信息追溯管理办法》等有关食品生产经营法律法规的学习；</w:t>
      </w:r>
    </w:p>
    <w:p w14:paraId="49390936">
      <w:pPr>
        <w:keepNext w:val="0"/>
        <w:keepLines w:val="0"/>
        <w:pageBreakBefore w:val="0"/>
        <w:widowControl w:val="0"/>
        <w:kinsoku/>
        <w:wordWrap/>
        <w:overflowPunct/>
        <w:topLinePunct w:val="0"/>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lang w:eastAsia="zh-CN"/>
          <w14:textFill>
            <w14:solidFill>
              <w14:schemeClr w14:val="tx1">
                <w14:lumMod w14:val="95000"/>
                <w14:lumOff w14:val="5000"/>
              </w14:schemeClr>
            </w14:solidFill>
          </w14:textFill>
        </w:rPr>
        <w:t>2.</w:t>
      </w:r>
      <w:r>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t>按规定及时上传食品安全追溯信息。</w:t>
      </w:r>
    </w:p>
    <w:p w14:paraId="283BAF3F">
      <w:pPr>
        <w:keepNext w:val="0"/>
        <w:keepLines w:val="0"/>
        <w:pageBreakBefore w:val="0"/>
        <w:widowControl w:val="0"/>
        <w:kinsoku/>
        <w:wordWrap/>
        <w:overflowPunct/>
        <w:topLinePunct w:val="0"/>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t>以上款项合计</w:t>
      </w:r>
      <w:r>
        <w:rPr>
          <w:rFonts w:hint="eastAsia" w:ascii="仿宋_GB2312" w:hAnsi="仿宋_GB2312" w:eastAsia="仿宋_GB2312" w:cs="仿宋_GB2312"/>
          <w:color w:val="0D0D0D" w:themeColor="text1" w:themeTint="F2"/>
          <w:sz w:val="32"/>
          <w:szCs w:val="32"/>
          <w:lang w:val="en-US" w:eastAsia="zh-CN"/>
          <w14:textFill>
            <w14:solidFill>
              <w14:schemeClr w14:val="tx1">
                <w14:lumMod w14:val="95000"/>
                <w14:lumOff w14:val="5000"/>
              </w14:schemeClr>
            </w14:solidFill>
          </w14:textFill>
        </w:rPr>
        <w:t>******整</w:t>
      </w:r>
      <w:r>
        <w:rPr>
          <w:rFonts w:hint="eastAsia" w:ascii="仿宋_GB2312" w:hAnsi="仿宋_GB2312" w:eastAsia="仿宋_GB2312" w:cs="仿宋_GB2312"/>
          <w:color w:val="0D0D0D" w:themeColor="text1" w:themeTint="F2"/>
          <w:sz w:val="32"/>
          <w:szCs w:val="32"/>
          <w:lang w:eastAsia="zh-CN"/>
          <w14:textFill>
            <w14:solidFill>
              <w14:schemeClr w14:val="tx1">
                <w14:lumMod w14:val="95000"/>
                <w14:lumOff w14:val="5000"/>
              </w14:schemeClr>
            </w14:solidFill>
          </w14:textFill>
        </w:rPr>
        <w:t>（</w:t>
      </w:r>
      <w:r>
        <w:rPr>
          <w:rFonts w:hint="eastAsia" w:ascii="仿宋_GB2312" w:hAnsi="仿宋_GB2312" w:eastAsia="仿宋_GB2312" w:cs="仿宋_GB2312"/>
          <w:color w:val="0D0D0D" w:themeColor="text1" w:themeTint="F2"/>
          <w:sz w:val="32"/>
          <w:szCs w:val="32"/>
          <w:lang w:val="en-US" w:eastAsia="zh-CN"/>
          <w14:textFill>
            <w14:solidFill>
              <w14:schemeClr w14:val="tx1">
                <w14:lumMod w14:val="95000"/>
                <w14:lumOff w14:val="5000"/>
              </w14:schemeClr>
            </w14:solidFill>
          </w14:textFill>
        </w:rPr>
        <w:t>*****</w:t>
      </w:r>
      <w:r>
        <w:rPr>
          <w:rFonts w:hint="eastAsia" w:ascii="仿宋_GB2312" w:eastAsia="仿宋_GB2312"/>
          <w:color w:val="0D0D0D" w:themeColor="text1" w:themeTint="F2"/>
          <w:sz w:val="32"/>
          <w:szCs w:val="32"/>
          <w:lang w:val="en-US" w:eastAsia="zh-CN"/>
          <w14:textFill>
            <w14:solidFill>
              <w14:schemeClr w14:val="tx1">
                <w14:lumMod w14:val="95000"/>
                <w14:lumOff w14:val="5000"/>
              </w14:schemeClr>
            </w14:solidFill>
          </w14:textFill>
        </w:rPr>
        <w:t>元）</w:t>
      </w:r>
      <w:r>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t>，当事人应当自收到本决定书之日起十五日内，持“福建省政府非税收入缴款通知书”到银行</w:t>
      </w:r>
      <w:r>
        <w:rPr>
          <w:rFonts w:hint="eastAsia" w:ascii="仿宋_GB2312" w:hAnsi="仿宋_GB2312" w:eastAsia="仿宋_GB2312" w:cs="仿宋_GB2312"/>
          <w:color w:val="0D0D0D" w:themeColor="text1" w:themeTint="F2"/>
          <w:sz w:val="32"/>
          <w:szCs w:val="32"/>
          <w:lang w:eastAsia="zh-CN"/>
          <w14:textFill>
            <w14:solidFill>
              <w14:schemeClr w14:val="tx1">
                <w14:lumMod w14:val="95000"/>
                <w14:lumOff w14:val="5000"/>
              </w14:schemeClr>
            </w14:solidFill>
          </w14:textFill>
        </w:rPr>
        <w:t>或通过电子支付系统</w:t>
      </w:r>
      <w:r>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t>缴款。当事人逾期不履行行政处罚决定的，本局将依据《中华人民共和国行政处罚法》第七十二条的规定，采取下列措施：（一）到期不缴纳罚款的，每日按罚款数额的百分之三加处罚款，加处罚款的数额不得超出罚款的数额；（二）根据法律规定，将查封、扣押的财物拍卖、依法处理或者将冻结的存款、汇款划拨抵缴罚款；（三）根据法律规定，采取其他行政强制执行方式；（四）依照《中华人民共和国行政强制法》的规定申请人民法院强制执行。</w:t>
      </w:r>
    </w:p>
    <w:p w14:paraId="5AAAF7D9">
      <w:pPr>
        <w:keepNext w:val="0"/>
        <w:keepLines w:val="0"/>
        <w:pageBreakBefore w:val="0"/>
        <w:widowControl w:val="0"/>
        <w:kinsoku/>
        <w:wordWrap/>
        <w:overflowPunct/>
        <w:topLinePunct w:val="0"/>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D0D0D" w:themeColor="text1" w:themeTint="F2"/>
          <w:sz w:val="32"/>
          <w:szCs w:val="32"/>
          <w:lang w:eastAsia="zh-CN"/>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t>当事人如不服本处罚决定，可在接到本处罚决定书之日起60日内向晋江市人民政府申请行政复议，或在6个月内依法向</w:t>
      </w:r>
      <w:r>
        <w:rPr>
          <w:rFonts w:hint="eastAsia" w:ascii="仿宋_GB2312" w:hAnsi="仿宋_GB2312" w:eastAsia="仿宋_GB2312" w:cs="仿宋_GB2312"/>
          <w:color w:val="0D0D0D" w:themeColor="text1" w:themeTint="F2"/>
          <w:sz w:val="32"/>
          <w:szCs w:val="32"/>
          <w:lang w:eastAsia="zh-CN"/>
          <w14:textFill>
            <w14:solidFill>
              <w14:schemeClr w14:val="tx1">
                <w14:lumMod w14:val="95000"/>
                <w14:lumOff w14:val="5000"/>
              </w14:schemeClr>
            </w14:solidFill>
          </w14:textFill>
        </w:rPr>
        <w:t>洛江区</w:t>
      </w:r>
      <w:r>
        <w:rPr>
          <w:rFonts w:hint="eastAsia" w:ascii="仿宋_GB2312" w:hAnsi="仿宋_GB2312" w:eastAsia="仿宋_GB2312" w:cs="仿宋_GB2312"/>
          <w:color w:val="0D0D0D" w:themeColor="text1" w:themeTint="F2"/>
          <w:sz w:val="32"/>
          <w:szCs w:val="32"/>
          <w14:textFill>
            <w14:solidFill>
              <w14:schemeClr w14:val="tx1">
                <w14:lumMod w14:val="95000"/>
                <w14:lumOff w14:val="5000"/>
              </w14:schemeClr>
            </w14:solidFill>
          </w14:textFill>
        </w:rPr>
        <w:t>人民法院提起行政诉讼。当事人对行政处罚决定不服</w:t>
      </w:r>
      <w:r>
        <w:rPr>
          <w:rFonts w:hint="eastAsia" w:ascii="仿宋_GB2312" w:hAnsi="仿宋_GB2312" w:eastAsia="仿宋_GB2312" w:cs="仿宋_GB2312"/>
          <w:color w:val="0D0D0D" w:themeColor="text1" w:themeTint="F2"/>
          <w:sz w:val="32"/>
          <w:szCs w:val="32"/>
          <w:lang w:eastAsia="zh-CN"/>
          <w14:textFill>
            <w14:solidFill>
              <w14:schemeClr w14:val="tx1">
                <w14:lumMod w14:val="95000"/>
                <w14:lumOff w14:val="5000"/>
              </w14:schemeClr>
            </w14:solidFill>
          </w14:textFill>
        </w:rPr>
        <w:t>而申请行政复议或者提起行政诉讼期间，行政处罚不停止执行，法律、法规、规章另有规定的，从其规定。</w:t>
      </w:r>
    </w:p>
    <w:p w14:paraId="5ABFDAE2">
      <w:pPr>
        <w:keepNext w:val="0"/>
        <w:keepLines w:val="0"/>
        <w:pageBreakBefore w:val="0"/>
        <w:widowControl w:val="0"/>
        <w:kinsoku/>
        <w:wordWrap/>
        <w:overflowPunct/>
        <w:topLinePunct w:val="0"/>
        <w:autoSpaceDE/>
        <w:autoSpaceDN/>
        <w:bidi w:val="0"/>
        <w:adjustRightInd/>
        <w:snapToGrid/>
        <w:spacing w:line="320" w:lineRule="exact"/>
        <w:ind w:firstLine="640" w:firstLineChars="200"/>
        <w:jc w:val="both"/>
        <w:textAlignment w:val="auto"/>
        <w:rPr>
          <w:rFonts w:hint="eastAsia" w:ascii="仿宋_GB2312" w:hAnsi="仿宋_GB2312" w:eastAsia="仿宋_GB2312" w:cs="仿宋_GB2312"/>
          <w:color w:val="0D0D0D" w:themeColor="text1" w:themeTint="F2"/>
          <w:sz w:val="32"/>
          <w:szCs w:val="32"/>
          <w:lang w:eastAsia="zh-CN"/>
          <w14:textFill>
            <w14:solidFill>
              <w14:schemeClr w14:val="tx1">
                <w14:lumMod w14:val="95000"/>
                <w14:lumOff w14:val="5000"/>
              </w14:schemeClr>
            </w14:solidFill>
          </w14:textFill>
        </w:rPr>
      </w:pPr>
    </w:p>
    <w:p w14:paraId="611B4384">
      <w:pPr>
        <w:keepNext w:val="0"/>
        <w:keepLines w:val="0"/>
        <w:pageBreakBefore w:val="0"/>
        <w:widowControl w:val="0"/>
        <w:kinsoku/>
        <w:wordWrap/>
        <w:overflowPunct/>
        <w:topLinePunct w:val="0"/>
        <w:autoSpaceDE/>
        <w:autoSpaceDN/>
        <w:bidi w:val="0"/>
        <w:adjustRightInd/>
        <w:snapToGrid/>
        <w:spacing w:line="320" w:lineRule="exact"/>
        <w:ind w:firstLine="640" w:firstLineChars="200"/>
        <w:jc w:val="both"/>
        <w:textAlignment w:val="auto"/>
        <w:rPr>
          <w:rFonts w:hint="default" w:ascii="仿宋_GB2312" w:hAnsi="仿宋_GB2312" w:eastAsia="仿宋_GB2312" w:cs="仿宋_GB2312"/>
          <w:color w:val="0D0D0D" w:themeColor="text1" w:themeTint="F2"/>
          <w:sz w:val="32"/>
          <w:szCs w:val="32"/>
          <w:lang w:val="en-US" w:eastAsia="zh-CN"/>
          <w14:textFill>
            <w14:solidFill>
              <w14:schemeClr w14:val="tx1">
                <w14:lumMod w14:val="95000"/>
                <w14:lumOff w14:val="5000"/>
              </w14:schemeClr>
            </w14:solidFill>
          </w14:textFill>
        </w:rPr>
      </w:pPr>
    </w:p>
    <w:p w14:paraId="494C245E">
      <w:pPr>
        <w:keepNext w:val="0"/>
        <w:keepLines w:val="0"/>
        <w:pageBreakBefore w:val="0"/>
        <w:widowControl w:val="0"/>
        <w:kinsoku/>
        <w:overflowPunct/>
        <w:topLinePunct w:val="0"/>
        <w:autoSpaceDE/>
        <w:autoSpaceDN/>
        <w:bidi w:val="0"/>
        <w:adjustRightInd/>
        <w:spacing w:line="320" w:lineRule="exact"/>
        <w:ind w:firstLine="601"/>
        <w:jc w:val="center"/>
        <w:textAlignment w:val="auto"/>
        <w:rPr>
          <w:rFonts w:ascii="仿宋_GB2312" w:hAnsi="仿宋" w:eastAsia="仿宋_GB2312" w:cs="Times New Roman"/>
          <w:color w:val="0D0D0D" w:themeColor="text1" w:themeTint="F2"/>
          <w:sz w:val="32"/>
          <w:szCs w:val="32"/>
          <w14:textFill>
            <w14:solidFill>
              <w14:schemeClr w14:val="tx1">
                <w14:lumMod w14:val="95000"/>
                <w14:lumOff w14:val="5000"/>
              </w14:schemeClr>
            </w14:solidFill>
          </w14:textFill>
        </w:rPr>
      </w:pPr>
      <w:r>
        <w:rPr>
          <w:rFonts w:ascii="仿宋_GB2312" w:hAnsi="仿宋" w:eastAsia="仿宋_GB2312" w:cs="仿宋_GB2312"/>
          <w:color w:val="0D0D0D" w:themeColor="text1" w:themeTint="F2"/>
          <w:sz w:val="32"/>
          <w:szCs w:val="32"/>
          <w14:textFill>
            <w14:solidFill>
              <w14:schemeClr w14:val="tx1">
                <w14:lumMod w14:val="95000"/>
                <w14:lumOff w14:val="5000"/>
              </w14:schemeClr>
            </w14:solidFill>
          </w14:textFill>
        </w:rPr>
        <w:t xml:space="preserve">                          </w:t>
      </w:r>
      <w:r>
        <w:rPr>
          <w:rFonts w:hint="eastAsia" w:ascii="仿宋_GB2312" w:hAnsi="仿宋" w:eastAsia="仿宋_GB2312" w:cs="仿宋_GB2312"/>
          <w:color w:val="0D0D0D" w:themeColor="text1" w:themeTint="F2"/>
          <w:sz w:val="32"/>
          <w:szCs w:val="32"/>
          <w14:textFill>
            <w14:solidFill>
              <w14:schemeClr w14:val="tx1">
                <w14:lumMod w14:val="95000"/>
                <w14:lumOff w14:val="5000"/>
              </w14:schemeClr>
            </w14:solidFill>
          </w14:textFill>
        </w:rPr>
        <w:t>晋江市市场监督管理局</w:t>
      </w:r>
      <w:r>
        <w:rPr>
          <w:rFonts w:ascii="仿宋_GB2312" w:hAnsi="仿宋" w:eastAsia="仿宋_GB2312" w:cs="仿宋_GB2312"/>
          <w:color w:val="0D0D0D" w:themeColor="text1" w:themeTint="F2"/>
          <w:sz w:val="32"/>
          <w:szCs w:val="32"/>
          <w14:textFill>
            <w14:solidFill>
              <w14:schemeClr w14:val="tx1">
                <w14:lumMod w14:val="95000"/>
                <w14:lumOff w14:val="5000"/>
              </w14:schemeClr>
            </w14:solidFill>
          </w14:textFill>
        </w:rPr>
        <w:t xml:space="preserve">                              </w:t>
      </w:r>
    </w:p>
    <w:p w14:paraId="06D0255C">
      <w:pPr>
        <w:keepNext w:val="0"/>
        <w:keepLines w:val="0"/>
        <w:pageBreakBefore w:val="0"/>
        <w:widowControl w:val="0"/>
        <w:kinsoku/>
        <w:overflowPunct/>
        <w:topLinePunct w:val="0"/>
        <w:autoSpaceDE/>
        <w:autoSpaceDN/>
        <w:bidi w:val="0"/>
        <w:adjustRightInd/>
        <w:spacing w:line="320" w:lineRule="exact"/>
        <w:ind w:right="640" w:firstLine="600"/>
        <w:jc w:val="center"/>
        <w:textAlignment w:val="auto"/>
        <w:rPr>
          <w:rFonts w:hint="eastAsia" w:ascii="仿宋_GB2312" w:hAnsi="仿宋" w:eastAsia="仿宋_GB2312" w:cs="仿宋_GB2312"/>
          <w:color w:val="0D0D0D" w:themeColor="text1" w:themeTint="F2"/>
          <w:sz w:val="32"/>
          <w:szCs w:val="32"/>
          <w:lang w:eastAsia="zh-CN"/>
          <w14:textFill>
            <w14:solidFill>
              <w14:schemeClr w14:val="tx1">
                <w14:lumMod w14:val="95000"/>
                <w14:lumOff w14:val="5000"/>
              </w14:schemeClr>
            </w14:solidFill>
          </w14:textFill>
        </w:rPr>
      </w:pPr>
      <w:r>
        <w:rPr>
          <w:rFonts w:ascii="仿宋_GB2312" w:hAnsi="仿宋" w:eastAsia="仿宋_GB2312" w:cs="仿宋_GB2312"/>
          <w:color w:val="0D0D0D" w:themeColor="text1" w:themeTint="F2"/>
          <w:sz w:val="32"/>
          <w:szCs w:val="32"/>
          <w14:textFill>
            <w14:solidFill>
              <w14:schemeClr w14:val="tx1">
                <w14:lumMod w14:val="95000"/>
                <w14:lumOff w14:val="5000"/>
              </w14:schemeClr>
            </w14:solidFill>
          </w14:textFill>
        </w:rPr>
        <w:t xml:space="preserve">                           </w:t>
      </w:r>
      <w:r>
        <w:rPr>
          <w:rFonts w:hint="eastAsia" w:ascii="仿宋_GB2312" w:hAnsi="仿宋" w:eastAsia="仿宋_GB2312" w:cs="仿宋_GB2312"/>
          <w:color w:val="0D0D0D" w:themeColor="text1" w:themeTint="F2"/>
          <w:sz w:val="32"/>
          <w:szCs w:val="32"/>
          <w:lang w:val="en-US" w:eastAsia="zh-CN"/>
          <w14:textFill>
            <w14:solidFill>
              <w14:schemeClr w14:val="tx1">
                <w14:lumMod w14:val="95000"/>
                <w14:lumOff w14:val="5000"/>
              </w14:schemeClr>
            </w14:solidFill>
          </w14:textFill>
        </w:rPr>
        <w:t xml:space="preserve">  2026</w:t>
      </w:r>
      <w:r>
        <w:rPr>
          <w:rFonts w:hint="eastAsia" w:ascii="仿宋_GB2312" w:hAnsi="仿宋" w:eastAsia="仿宋_GB2312" w:cs="仿宋_GB2312"/>
          <w:color w:val="0D0D0D" w:themeColor="text1" w:themeTint="F2"/>
          <w:sz w:val="32"/>
          <w:szCs w:val="32"/>
          <w14:textFill>
            <w14:solidFill>
              <w14:schemeClr w14:val="tx1">
                <w14:lumMod w14:val="95000"/>
                <w14:lumOff w14:val="5000"/>
              </w14:schemeClr>
            </w14:solidFill>
          </w14:textFill>
        </w:rPr>
        <w:t>年</w:t>
      </w:r>
      <w:r>
        <w:rPr>
          <w:rFonts w:hint="eastAsia" w:ascii="仿宋_GB2312" w:hAnsi="仿宋" w:eastAsia="仿宋_GB2312" w:cs="仿宋_GB2312"/>
          <w:color w:val="0D0D0D" w:themeColor="text1" w:themeTint="F2"/>
          <w:sz w:val="32"/>
          <w:szCs w:val="32"/>
          <w:lang w:val="en-US" w:eastAsia="zh-CN"/>
          <w14:textFill>
            <w14:solidFill>
              <w14:schemeClr w14:val="tx1">
                <w14:lumMod w14:val="95000"/>
                <w14:lumOff w14:val="5000"/>
              </w14:schemeClr>
            </w14:solidFill>
          </w14:textFill>
        </w:rPr>
        <w:t>4</w:t>
      </w:r>
      <w:r>
        <w:rPr>
          <w:rFonts w:hint="eastAsia" w:ascii="仿宋_GB2312" w:hAnsi="仿宋" w:eastAsia="仿宋_GB2312" w:cs="仿宋_GB2312"/>
          <w:color w:val="0D0D0D" w:themeColor="text1" w:themeTint="F2"/>
          <w:sz w:val="32"/>
          <w:szCs w:val="32"/>
          <w14:textFill>
            <w14:solidFill>
              <w14:schemeClr w14:val="tx1">
                <w14:lumMod w14:val="95000"/>
                <w14:lumOff w14:val="5000"/>
              </w14:schemeClr>
            </w14:solidFill>
          </w14:textFill>
        </w:rPr>
        <w:t>月</w:t>
      </w:r>
      <w:r>
        <w:rPr>
          <w:rFonts w:hint="eastAsia" w:ascii="仿宋_GB2312" w:hAnsi="仿宋" w:eastAsia="仿宋_GB2312" w:cs="仿宋_GB2312"/>
          <w:color w:val="0D0D0D" w:themeColor="text1" w:themeTint="F2"/>
          <w:sz w:val="32"/>
          <w:szCs w:val="32"/>
          <w:lang w:val="en-US" w:eastAsia="zh-CN"/>
          <w14:textFill>
            <w14:solidFill>
              <w14:schemeClr w14:val="tx1">
                <w14:lumMod w14:val="95000"/>
                <w14:lumOff w14:val="5000"/>
              </w14:schemeClr>
            </w14:solidFill>
          </w14:textFill>
        </w:rPr>
        <w:t>13</w:t>
      </w:r>
      <w:r>
        <w:rPr>
          <w:rFonts w:hint="eastAsia" w:ascii="仿宋_GB2312" w:hAnsi="仿宋" w:eastAsia="仿宋_GB2312" w:cs="仿宋_GB2312"/>
          <w:color w:val="0D0D0D" w:themeColor="text1" w:themeTint="F2"/>
          <w:sz w:val="32"/>
          <w:szCs w:val="32"/>
          <w:lang w:eastAsia="zh-CN"/>
          <w14:textFill>
            <w14:solidFill>
              <w14:schemeClr w14:val="tx1">
                <w14:lumMod w14:val="95000"/>
                <w14:lumOff w14:val="5000"/>
              </w14:schemeClr>
            </w14:solidFill>
          </w14:textFill>
        </w:rPr>
        <w:t>日</w:t>
      </w:r>
    </w:p>
    <w:p w14:paraId="61140176">
      <w:pPr>
        <w:keepNext w:val="0"/>
        <w:keepLines w:val="0"/>
        <w:pageBreakBefore w:val="0"/>
        <w:widowControl w:val="0"/>
        <w:kinsoku/>
        <w:overflowPunct/>
        <w:topLinePunct w:val="0"/>
        <w:autoSpaceDE/>
        <w:autoSpaceDN/>
        <w:bidi w:val="0"/>
        <w:adjustRightInd/>
        <w:spacing w:line="320" w:lineRule="exact"/>
        <w:ind w:right="640" w:firstLine="600"/>
        <w:jc w:val="center"/>
        <w:textAlignment w:val="auto"/>
        <w:rPr>
          <w:rFonts w:hint="eastAsia" w:ascii="仿宋_GB2312" w:hAnsi="仿宋" w:eastAsia="仿宋_GB2312" w:cs="仿宋_GB2312"/>
          <w:color w:val="0D0D0D" w:themeColor="text1" w:themeTint="F2"/>
          <w:sz w:val="32"/>
          <w:szCs w:val="32"/>
          <w:lang w:eastAsia="zh-CN"/>
          <w14:textFill>
            <w14:solidFill>
              <w14:schemeClr w14:val="tx1">
                <w14:lumMod w14:val="95000"/>
                <w14:lumOff w14:val="5000"/>
              </w14:schemeClr>
            </w14:solidFill>
          </w14:textFill>
        </w:rPr>
      </w:pPr>
    </w:p>
    <w:p w14:paraId="7A93785F">
      <w:pPr>
        <w:keepNext w:val="0"/>
        <w:keepLines w:val="0"/>
        <w:pageBreakBefore w:val="0"/>
        <w:widowControl w:val="0"/>
        <w:kinsoku/>
        <w:wordWrap w:val="0"/>
        <w:overflowPunct/>
        <w:topLinePunct w:val="0"/>
        <w:autoSpaceDE/>
        <w:autoSpaceDN/>
        <w:bidi w:val="0"/>
        <w:adjustRightInd/>
        <w:snapToGrid w:val="0"/>
        <w:spacing w:line="500" w:lineRule="exact"/>
        <w:textAlignment w:val="auto"/>
        <w:rPr>
          <w:color w:val="0D0D0D" w:themeColor="text1" w:themeTint="F2"/>
          <w14:textFill>
            <w14:solidFill>
              <w14:schemeClr w14:val="tx1">
                <w14:lumMod w14:val="95000"/>
                <w14:lumOff w14:val="5000"/>
              </w14:schemeClr>
            </w14:solidFill>
          </w14:textFill>
        </w:rPr>
      </w:pPr>
      <w:r>
        <w:rPr>
          <w:rFonts w:hint="eastAsia" w:ascii="仿宋_GB2312" w:hAnsi="黑体" w:eastAsia="仿宋_GB2312" w:cs="仿宋_GB2312"/>
          <w:color w:val="0D0D0D" w:themeColor="text1" w:themeTint="F2"/>
          <w:spacing w:val="0"/>
          <w:w w:val="96"/>
          <w:kern w:val="0"/>
          <w:sz w:val="32"/>
          <w:szCs w:val="32"/>
          <w:fitText w:val="8320" w:id="1171069960"/>
          <w14:textFill>
            <w14:solidFill>
              <w14:schemeClr w14:val="tx1">
                <w14:lumMod w14:val="95000"/>
                <w14:lumOff w14:val="5000"/>
              </w14:schemeClr>
            </w14:solidFill>
          </w14:textFill>
        </w:rPr>
        <w:t>（</w:t>
      </w:r>
      <w:r>
        <w:rPr>
          <w:rFonts w:hint="eastAsia" w:ascii="黑体" w:hAnsi="黑体" w:eastAsia="黑体" w:cs="黑体"/>
          <w:b/>
          <w:bCs/>
          <w:color w:val="0D0D0D" w:themeColor="text1" w:themeTint="F2"/>
          <w:spacing w:val="0"/>
          <w:w w:val="96"/>
          <w:kern w:val="0"/>
          <w:sz w:val="32"/>
          <w:szCs w:val="32"/>
          <w:fitText w:val="8320" w:id="1171069960"/>
          <w14:textFill>
            <w14:solidFill>
              <w14:schemeClr w14:val="tx1">
                <w14:lumMod w14:val="95000"/>
                <w14:lumOff w14:val="5000"/>
              </w14:schemeClr>
            </w14:solidFill>
          </w14:textFill>
        </w:rPr>
        <w:t>市场监督管理部门将依法向社会公示本行政处罚决定信息</w:t>
      </w:r>
      <w:r>
        <w:rPr>
          <w:rFonts w:hint="eastAsia" w:ascii="仿宋_GB2312" w:hAnsi="黑体" w:eastAsia="仿宋_GB2312" w:cs="仿宋_GB2312"/>
          <w:color w:val="0D0D0D" w:themeColor="text1" w:themeTint="F2"/>
          <w:spacing w:val="-6"/>
          <w:w w:val="96"/>
          <w:kern w:val="0"/>
          <w:sz w:val="32"/>
          <w:szCs w:val="32"/>
          <w:fitText w:val="8320" w:id="1171069960"/>
          <w14:textFill>
            <w14:solidFill>
              <w14:schemeClr w14:val="tx1">
                <w14:lumMod w14:val="95000"/>
                <w14:lumOff w14:val="5000"/>
              </w14:schemeClr>
            </w14:solidFill>
          </w14:textFill>
        </w:rPr>
        <w:t>）</w:t>
      </w:r>
    </w:p>
    <w:p w14:paraId="54DD3BB2">
      <w:pPr>
        <w:keepNext w:val="0"/>
        <w:keepLines w:val="0"/>
        <w:pageBreakBefore w:val="0"/>
        <w:widowControl w:val="0"/>
        <w:kinsoku/>
        <w:wordWrap w:val="0"/>
        <w:overflowPunct/>
        <w:topLinePunct w:val="0"/>
        <w:autoSpaceDE/>
        <w:autoSpaceDN/>
        <w:bidi w:val="0"/>
        <w:adjustRightInd/>
        <w:spacing w:line="500" w:lineRule="exact"/>
        <w:textAlignment w:val="auto"/>
        <w:rPr>
          <w:color w:val="0D0D0D" w:themeColor="text1" w:themeTint="F2"/>
          <w14:textFill>
            <w14:solidFill>
              <w14:schemeClr w14:val="tx1">
                <w14:lumMod w14:val="95000"/>
                <w14:lumOff w14:val="5000"/>
              </w14:schemeClr>
            </w14:solidFill>
          </w14:textFill>
        </w:rPr>
      </w:pPr>
      <w:r>
        <w:rPr>
          <w:color w:val="0D0D0D" w:themeColor="text1" w:themeTint="F2"/>
          <w14:textFill>
            <w14:solidFill>
              <w14:schemeClr w14:val="tx1">
                <w14:lumMod w14:val="95000"/>
                <w14:lumOff w14:val="5000"/>
              </w14:schemeClr>
            </w14:solidFill>
          </w14:textFill>
        </w:rPr>
        <mc:AlternateContent>
          <mc:Choice Requires="wps">
            <w:drawing>
              <wp:anchor distT="0" distB="0" distL="114300" distR="114300" simplePos="0" relativeHeight="251662336" behindDoc="0" locked="0" layoutInCell="1" allowOverlap="1">
                <wp:simplePos x="0" y="0"/>
                <wp:positionH relativeFrom="column">
                  <wp:posOffset>14605</wp:posOffset>
                </wp:positionH>
                <wp:positionV relativeFrom="paragraph">
                  <wp:posOffset>34925</wp:posOffset>
                </wp:positionV>
                <wp:extent cx="5550535" cy="635"/>
                <wp:effectExtent l="0" t="7620" r="12065" b="14605"/>
                <wp:wrapNone/>
                <wp:docPr id="2" name="直接连接符 2"/>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15pt;margin-top:2.75pt;height:0.05pt;width:437.05pt;z-index:251662336;mso-width-relative:page;mso-height-relative:page;" filled="f" stroked="t" coordsize="21600,21600" o:gfxdata="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EUjjXVAAAABQEAAA8AAAAAAAAAAQAgAAAAIgAAAGRycy9kb3ducmV2LnhtbFBLAQIU&#10;ABQAAAAIAIdO4kD9c99R9gEAAOcDAAAOAAAAAAAAAAEAIAAAACQBAABkcnMvZTJvRG9jLnhtbFBL&#10;BQYAAAAABgAGAFkBAACMBQAAAAA=&#10;">
                <v:fill on="f" focussize="0,0"/>
                <v:stroke weight="1.25pt" color="#000000" joinstyle="round"/>
                <v:imagedata o:title=""/>
                <o:lock v:ext="edit" aspectratio="f"/>
              </v:line>
            </w:pict>
          </mc:Fallback>
        </mc:AlternateContent>
      </w:r>
      <w:r>
        <w:rPr>
          <w:color w:val="0D0D0D" w:themeColor="text1" w:themeTint="F2"/>
          <w14:textFill>
            <w14:solidFill>
              <w14:schemeClr w14:val="tx1">
                <w14:lumMod w14:val="95000"/>
                <w14:lumOff w14:val="5000"/>
              </w14:schemeClr>
            </w14:solidFill>
          </w14:textFill>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3" name="直接连接符 3"/>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0pt;margin-top:1638.35pt;height:0.1pt;width:453.75pt;z-index:251661312;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i+/zkdcAAAAKAQAADwAAAAAAAAABACAAAAAiAAAAZHJzL2Rvd25yZXYueG1s&#10;UEsBAhQAFAAAAAgAh07iQBSD0Df5AQAA5QMAAA4AAAAAAAAAAQAgAAAAJgEAAGRycy9lMm9Eb2Mu&#10;eG1sUEsFBgAAAAAGAAYAWQEAAJEFAAAAAA==&#10;">
                <v:fill on="f" focussize="0,0"/>
                <v:stroke weight="0.737007874015748pt" color="#000000" joinstyle="round" endcap="square"/>
                <v:imagedata o:title=""/>
                <o:lock v:ext="edit" aspectratio="f"/>
              </v:line>
            </w:pict>
          </mc:Fallback>
        </mc:AlternateContent>
      </w:r>
      <w:r>
        <w:rPr>
          <w:rFonts w:hint="eastAsia" w:ascii="仿宋_GB2312" w:hAnsi="仿宋" w:eastAsia="仿宋_GB2312" w:cs="仿宋_GB2312"/>
          <w:color w:val="0D0D0D" w:themeColor="text1" w:themeTint="F2"/>
          <w:sz w:val="32"/>
          <w:szCs w:val="32"/>
          <w14:textFill>
            <w14:solidFill>
              <w14:schemeClr w14:val="tx1">
                <w14:lumMod w14:val="95000"/>
                <w14:lumOff w14:val="5000"/>
              </w14:schemeClr>
            </w14:solidFill>
          </w14:textFill>
        </w:rPr>
        <w:t>本文书</w:t>
      </w:r>
      <w:r>
        <w:rPr>
          <w:rFonts w:hint="eastAsia" w:ascii="仿宋_GB2312" w:hAnsi="仿宋" w:eastAsia="仿宋_GB2312" w:cs="仿宋_GB2312"/>
          <w:color w:val="0D0D0D" w:themeColor="text1" w:themeTint="F2"/>
          <w:sz w:val="32"/>
          <w:szCs w:val="32"/>
          <w:lang w:eastAsia="zh-CN"/>
          <w14:textFill>
            <w14:solidFill>
              <w14:schemeClr w14:val="tx1">
                <w14:lumMod w14:val="95000"/>
                <w14:lumOff w14:val="5000"/>
              </w14:schemeClr>
            </w14:solidFill>
          </w14:textFill>
        </w:rPr>
        <w:t>一式两份，一份</w:t>
      </w:r>
      <w:r>
        <w:rPr>
          <w:rFonts w:hint="eastAsia" w:ascii="仿宋_GB2312" w:hAnsi="仿宋" w:eastAsia="仿宋_GB2312" w:cs="仿宋_GB2312"/>
          <w:color w:val="0D0D0D" w:themeColor="text1" w:themeTint="F2"/>
          <w:sz w:val="32"/>
          <w:szCs w:val="32"/>
          <w14:textFill>
            <w14:solidFill>
              <w14:schemeClr w14:val="tx1">
                <w14:lumMod w14:val="95000"/>
                <w14:lumOff w14:val="5000"/>
              </w14:schemeClr>
            </w14:solidFill>
          </w14:textFill>
        </w:rPr>
        <w:t>送达，</w:t>
      </w:r>
      <w:r>
        <w:rPr>
          <w:rFonts w:hint="eastAsia" w:ascii="仿宋_GB2312" w:hAnsi="仿宋" w:eastAsia="仿宋_GB2312" w:cs="仿宋_GB2312"/>
          <w:color w:val="0D0D0D" w:themeColor="text1" w:themeTint="F2"/>
          <w:sz w:val="32"/>
          <w:szCs w:val="32"/>
          <w:lang w:eastAsia="zh-CN"/>
          <w14:textFill>
            <w14:solidFill>
              <w14:schemeClr w14:val="tx1">
                <w14:lumMod w14:val="95000"/>
                <w14:lumOff w14:val="5000"/>
              </w14:schemeClr>
            </w14:solidFill>
          </w14:textFill>
        </w:rPr>
        <w:t>一</w:t>
      </w:r>
      <w:r>
        <w:rPr>
          <w:rFonts w:hint="eastAsia" w:ascii="仿宋_GB2312" w:hAnsi="仿宋" w:eastAsia="仿宋_GB2312" w:cs="仿宋_GB2312"/>
          <w:color w:val="0D0D0D" w:themeColor="text1" w:themeTint="F2"/>
          <w:sz w:val="32"/>
          <w:szCs w:val="32"/>
          <w14:textFill>
            <w14:solidFill>
              <w14:schemeClr w14:val="tx1">
                <w14:lumMod w14:val="95000"/>
                <w14:lumOff w14:val="5000"/>
              </w14:schemeClr>
            </w14:solidFill>
          </w14:textFill>
        </w:rPr>
        <w:t>份归档。</w:t>
      </w:r>
    </w:p>
    <w:sectPr>
      <w:footerReference r:id="rId3" w:type="default"/>
      <w:pgSz w:w="11906" w:h="16838"/>
      <w:pgMar w:top="1440" w:right="1559" w:bottom="1440" w:left="1559"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Microsoft JhengHei">
    <w:panose1 w:val="020B0604030504040204"/>
    <w:charset w:val="88"/>
    <w:family w:val="swiss"/>
    <w:pitch w:val="default"/>
    <w:sig w:usb0="00000087" w:usb1="28AF4000" w:usb2="00000016" w:usb3="00000000" w:csb0="00100009"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41F4A">
    <w:pPr>
      <w:pStyle w:val="5"/>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8606D5">
                          <w:pPr>
                            <w:pStyle w:val="5"/>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0F8606D5">
                    <w:pPr>
                      <w:pStyle w:val="5"/>
                      <w:rPr>
                        <w:rFonts w:hint="eastAsia" w:asciiTheme="majorEastAsia" w:hAnsiTheme="majorEastAsia" w:eastAsiaTheme="majorEastAsia" w:cstheme="majorEastAsia"/>
                        <w:sz w:val="24"/>
                        <w:szCs w:val="24"/>
                      </w:rPr>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581062"/>
    <w:rsid w:val="00604423"/>
    <w:rsid w:val="00910E75"/>
    <w:rsid w:val="00E83EF9"/>
    <w:rsid w:val="01535789"/>
    <w:rsid w:val="02431C27"/>
    <w:rsid w:val="02666077"/>
    <w:rsid w:val="0270657C"/>
    <w:rsid w:val="036F589E"/>
    <w:rsid w:val="03D679ED"/>
    <w:rsid w:val="03F25821"/>
    <w:rsid w:val="03F41894"/>
    <w:rsid w:val="04F07706"/>
    <w:rsid w:val="05683712"/>
    <w:rsid w:val="0583215C"/>
    <w:rsid w:val="05AB26CC"/>
    <w:rsid w:val="05E37B05"/>
    <w:rsid w:val="05FC37A2"/>
    <w:rsid w:val="06241B26"/>
    <w:rsid w:val="06B9596D"/>
    <w:rsid w:val="06F8220E"/>
    <w:rsid w:val="077B5E6F"/>
    <w:rsid w:val="07895E1E"/>
    <w:rsid w:val="08DC682D"/>
    <w:rsid w:val="0912008B"/>
    <w:rsid w:val="091B3DE3"/>
    <w:rsid w:val="092363C3"/>
    <w:rsid w:val="094160BA"/>
    <w:rsid w:val="09697D82"/>
    <w:rsid w:val="09E606DC"/>
    <w:rsid w:val="0A070DA5"/>
    <w:rsid w:val="0A224BED"/>
    <w:rsid w:val="0A511A13"/>
    <w:rsid w:val="0A7310E2"/>
    <w:rsid w:val="0A9D5DFE"/>
    <w:rsid w:val="0AA26EDB"/>
    <w:rsid w:val="0AFB5642"/>
    <w:rsid w:val="0B5338A5"/>
    <w:rsid w:val="0B9D3990"/>
    <w:rsid w:val="0BCB481D"/>
    <w:rsid w:val="0BED3E7E"/>
    <w:rsid w:val="0C2A4089"/>
    <w:rsid w:val="0C423056"/>
    <w:rsid w:val="0C4B02E8"/>
    <w:rsid w:val="0C811A19"/>
    <w:rsid w:val="0C9226ED"/>
    <w:rsid w:val="0D680E9D"/>
    <w:rsid w:val="0E405400"/>
    <w:rsid w:val="0E4F1471"/>
    <w:rsid w:val="0E815616"/>
    <w:rsid w:val="0FCD026E"/>
    <w:rsid w:val="10467A24"/>
    <w:rsid w:val="10BD537A"/>
    <w:rsid w:val="118A129F"/>
    <w:rsid w:val="11E5260C"/>
    <w:rsid w:val="12204F73"/>
    <w:rsid w:val="12276D29"/>
    <w:rsid w:val="12F44A57"/>
    <w:rsid w:val="134A25AE"/>
    <w:rsid w:val="14A90BE4"/>
    <w:rsid w:val="152F2F5D"/>
    <w:rsid w:val="15FC139C"/>
    <w:rsid w:val="16D46B0D"/>
    <w:rsid w:val="16E03BD4"/>
    <w:rsid w:val="170D286C"/>
    <w:rsid w:val="17324313"/>
    <w:rsid w:val="1749600B"/>
    <w:rsid w:val="17E80B45"/>
    <w:rsid w:val="1836361B"/>
    <w:rsid w:val="183C2BC2"/>
    <w:rsid w:val="1866017D"/>
    <w:rsid w:val="18725187"/>
    <w:rsid w:val="188A7980"/>
    <w:rsid w:val="18E445D4"/>
    <w:rsid w:val="19733B5E"/>
    <w:rsid w:val="19AE105E"/>
    <w:rsid w:val="19BE7EB8"/>
    <w:rsid w:val="19FF511D"/>
    <w:rsid w:val="1A1369E2"/>
    <w:rsid w:val="1A324ECA"/>
    <w:rsid w:val="1A58274E"/>
    <w:rsid w:val="1A9360BE"/>
    <w:rsid w:val="1A996F53"/>
    <w:rsid w:val="1AA778F7"/>
    <w:rsid w:val="1B8C7EB2"/>
    <w:rsid w:val="1B97666C"/>
    <w:rsid w:val="1D011227"/>
    <w:rsid w:val="1DE57E74"/>
    <w:rsid w:val="1E1E7375"/>
    <w:rsid w:val="1E4E6894"/>
    <w:rsid w:val="1EA14B50"/>
    <w:rsid w:val="20384A0E"/>
    <w:rsid w:val="20491D0A"/>
    <w:rsid w:val="205738DD"/>
    <w:rsid w:val="20B55BF3"/>
    <w:rsid w:val="20D92900"/>
    <w:rsid w:val="216838CC"/>
    <w:rsid w:val="219B21DB"/>
    <w:rsid w:val="21A35E0B"/>
    <w:rsid w:val="22394B8C"/>
    <w:rsid w:val="22AA3BF7"/>
    <w:rsid w:val="22E72877"/>
    <w:rsid w:val="23B24625"/>
    <w:rsid w:val="23CA1D98"/>
    <w:rsid w:val="2454637C"/>
    <w:rsid w:val="24A66E2E"/>
    <w:rsid w:val="258C7333"/>
    <w:rsid w:val="25A9532D"/>
    <w:rsid w:val="2623114E"/>
    <w:rsid w:val="26377E0E"/>
    <w:rsid w:val="26484BA6"/>
    <w:rsid w:val="2693163A"/>
    <w:rsid w:val="29272A48"/>
    <w:rsid w:val="29295DBB"/>
    <w:rsid w:val="292D7B9E"/>
    <w:rsid w:val="296E4B0E"/>
    <w:rsid w:val="29E40ABD"/>
    <w:rsid w:val="2B2649EA"/>
    <w:rsid w:val="2B584365"/>
    <w:rsid w:val="2BBC7A1D"/>
    <w:rsid w:val="2C974193"/>
    <w:rsid w:val="2CE938F8"/>
    <w:rsid w:val="2D5A4B9C"/>
    <w:rsid w:val="2DFA08A5"/>
    <w:rsid w:val="2EB454A4"/>
    <w:rsid w:val="2F174EAD"/>
    <w:rsid w:val="2F2B676E"/>
    <w:rsid w:val="2F5A685A"/>
    <w:rsid w:val="2F612041"/>
    <w:rsid w:val="303A21AA"/>
    <w:rsid w:val="303D59D2"/>
    <w:rsid w:val="30807253"/>
    <w:rsid w:val="30C536BF"/>
    <w:rsid w:val="31BF4F43"/>
    <w:rsid w:val="31DB6C73"/>
    <w:rsid w:val="31E7300F"/>
    <w:rsid w:val="3206690E"/>
    <w:rsid w:val="320976CD"/>
    <w:rsid w:val="32232B3E"/>
    <w:rsid w:val="32A15616"/>
    <w:rsid w:val="334E586F"/>
    <w:rsid w:val="3369566D"/>
    <w:rsid w:val="33913D1E"/>
    <w:rsid w:val="339C4F06"/>
    <w:rsid w:val="339D0A54"/>
    <w:rsid w:val="33C5666A"/>
    <w:rsid w:val="3404361D"/>
    <w:rsid w:val="3467518C"/>
    <w:rsid w:val="362B04CC"/>
    <w:rsid w:val="363F5F4F"/>
    <w:rsid w:val="367C3D08"/>
    <w:rsid w:val="36C248DA"/>
    <w:rsid w:val="36E506A3"/>
    <w:rsid w:val="36F54CE6"/>
    <w:rsid w:val="377F0A8F"/>
    <w:rsid w:val="38A14DE9"/>
    <w:rsid w:val="3A0F3B03"/>
    <w:rsid w:val="3B707847"/>
    <w:rsid w:val="3BF41CFE"/>
    <w:rsid w:val="3C151627"/>
    <w:rsid w:val="3CDE6E6B"/>
    <w:rsid w:val="3DA34503"/>
    <w:rsid w:val="3F335413"/>
    <w:rsid w:val="3FB0287A"/>
    <w:rsid w:val="3FDB4806"/>
    <w:rsid w:val="40086976"/>
    <w:rsid w:val="405815DE"/>
    <w:rsid w:val="40694416"/>
    <w:rsid w:val="408C5E2C"/>
    <w:rsid w:val="40E432B1"/>
    <w:rsid w:val="41305EA1"/>
    <w:rsid w:val="41C7741E"/>
    <w:rsid w:val="42041599"/>
    <w:rsid w:val="424A5B00"/>
    <w:rsid w:val="424A754A"/>
    <w:rsid w:val="42595894"/>
    <w:rsid w:val="431253B7"/>
    <w:rsid w:val="43222F54"/>
    <w:rsid w:val="43242C34"/>
    <w:rsid w:val="4344469B"/>
    <w:rsid w:val="43901C05"/>
    <w:rsid w:val="445756C1"/>
    <w:rsid w:val="44E940F0"/>
    <w:rsid w:val="45205AA3"/>
    <w:rsid w:val="45341624"/>
    <w:rsid w:val="45611987"/>
    <w:rsid w:val="458F14B8"/>
    <w:rsid w:val="45CF2258"/>
    <w:rsid w:val="463B56A1"/>
    <w:rsid w:val="463D49EB"/>
    <w:rsid w:val="466329CC"/>
    <w:rsid w:val="46780F36"/>
    <w:rsid w:val="46F161AB"/>
    <w:rsid w:val="475D0DD7"/>
    <w:rsid w:val="486A70AE"/>
    <w:rsid w:val="48C63FDB"/>
    <w:rsid w:val="48D42AD5"/>
    <w:rsid w:val="492E0DE2"/>
    <w:rsid w:val="49A103D5"/>
    <w:rsid w:val="4A012AD8"/>
    <w:rsid w:val="4AC239F8"/>
    <w:rsid w:val="4B3230FC"/>
    <w:rsid w:val="4B9445EE"/>
    <w:rsid w:val="4BF3705C"/>
    <w:rsid w:val="4C13614A"/>
    <w:rsid w:val="4CD774E0"/>
    <w:rsid w:val="4CDA4A69"/>
    <w:rsid w:val="4CE74A8C"/>
    <w:rsid w:val="4E07066A"/>
    <w:rsid w:val="4E1F47B8"/>
    <w:rsid w:val="4E2C3C8A"/>
    <w:rsid w:val="4F076423"/>
    <w:rsid w:val="4F4A330A"/>
    <w:rsid w:val="50355777"/>
    <w:rsid w:val="5093247C"/>
    <w:rsid w:val="51B57176"/>
    <w:rsid w:val="51DA59EE"/>
    <w:rsid w:val="51DD357D"/>
    <w:rsid w:val="520F0A52"/>
    <w:rsid w:val="525F1077"/>
    <w:rsid w:val="526C47AA"/>
    <w:rsid w:val="532F46BA"/>
    <w:rsid w:val="53380578"/>
    <w:rsid w:val="533B5CE9"/>
    <w:rsid w:val="533B7788"/>
    <w:rsid w:val="534A61E5"/>
    <w:rsid w:val="54335EEE"/>
    <w:rsid w:val="54581062"/>
    <w:rsid w:val="558D168B"/>
    <w:rsid w:val="55A2326E"/>
    <w:rsid w:val="55B1299C"/>
    <w:rsid w:val="55FD7812"/>
    <w:rsid w:val="560F68C8"/>
    <w:rsid w:val="56D27BDF"/>
    <w:rsid w:val="56FB0FB3"/>
    <w:rsid w:val="57582392"/>
    <w:rsid w:val="577A3BBE"/>
    <w:rsid w:val="578F27F2"/>
    <w:rsid w:val="582D6044"/>
    <w:rsid w:val="58332492"/>
    <w:rsid w:val="5858167A"/>
    <w:rsid w:val="58E65375"/>
    <w:rsid w:val="595431AE"/>
    <w:rsid w:val="59855D36"/>
    <w:rsid w:val="59D81D1A"/>
    <w:rsid w:val="59F03145"/>
    <w:rsid w:val="59F83FB5"/>
    <w:rsid w:val="5AB86E88"/>
    <w:rsid w:val="5ABA281A"/>
    <w:rsid w:val="5ADA7DD5"/>
    <w:rsid w:val="5B904AA9"/>
    <w:rsid w:val="5BE22E75"/>
    <w:rsid w:val="5BED74EF"/>
    <w:rsid w:val="5C0F2F49"/>
    <w:rsid w:val="5E1D170E"/>
    <w:rsid w:val="5E2E37BD"/>
    <w:rsid w:val="5E9A469A"/>
    <w:rsid w:val="5F1E48A0"/>
    <w:rsid w:val="5F2A5FBE"/>
    <w:rsid w:val="60B749FE"/>
    <w:rsid w:val="614B1ABE"/>
    <w:rsid w:val="61C20E1D"/>
    <w:rsid w:val="61FA1CBF"/>
    <w:rsid w:val="620056D1"/>
    <w:rsid w:val="62091AF9"/>
    <w:rsid w:val="621025E5"/>
    <w:rsid w:val="627C6880"/>
    <w:rsid w:val="632C46DE"/>
    <w:rsid w:val="638D3C7F"/>
    <w:rsid w:val="64A43491"/>
    <w:rsid w:val="64A46E26"/>
    <w:rsid w:val="66757159"/>
    <w:rsid w:val="66AE2D27"/>
    <w:rsid w:val="67056643"/>
    <w:rsid w:val="67315A92"/>
    <w:rsid w:val="68CE24DE"/>
    <w:rsid w:val="6948492F"/>
    <w:rsid w:val="69A4580E"/>
    <w:rsid w:val="69A97643"/>
    <w:rsid w:val="6A554FA5"/>
    <w:rsid w:val="6A747908"/>
    <w:rsid w:val="6A816B8A"/>
    <w:rsid w:val="6A993564"/>
    <w:rsid w:val="6B3D6CB4"/>
    <w:rsid w:val="6B5B3EC9"/>
    <w:rsid w:val="6BB90903"/>
    <w:rsid w:val="6BC312D3"/>
    <w:rsid w:val="6CAB4DE1"/>
    <w:rsid w:val="6CB047D6"/>
    <w:rsid w:val="6CF27ECD"/>
    <w:rsid w:val="6DB17808"/>
    <w:rsid w:val="6DCF081C"/>
    <w:rsid w:val="6E252F8D"/>
    <w:rsid w:val="6E5D2DF0"/>
    <w:rsid w:val="6EBD7C14"/>
    <w:rsid w:val="6F5742CB"/>
    <w:rsid w:val="6FAD2F20"/>
    <w:rsid w:val="704B11CB"/>
    <w:rsid w:val="709A64D1"/>
    <w:rsid w:val="71CC10E9"/>
    <w:rsid w:val="720E2799"/>
    <w:rsid w:val="72910CB0"/>
    <w:rsid w:val="73080EC5"/>
    <w:rsid w:val="733711B6"/>
    <w:rsid w:val="73372A6E"/>
    <w:rsid w:val="734D1625"/>
    <w:rsid w:val="735B0A74"/>
    <w:rsid w:val="73AE351B"/>
    <w:rsid w:val="740178B9"/>
    <w:rsid w:val="743B5103"/>
    <w:rsid w:val="7456767B"/>
    <w:rsid w:val="7473448E"/>
    <w:rsid w:val="74B30436"/>
    <w:rsid w:val="7553402F"/>
    <w:rsid w:val="756E6E5E"/>
    <w:rsid w:val="77736309"/>
    <w:rsid w:val="778640B2"/>
    <w:rsid w:val="77A130C6"/>
    <w:rsid w:val="77D1789E"/>
    <w:rsid w:val="78322A12"/>
    <w:rsid w:val="78473A39"/>
    <w:rsid w:val="79B3262F"/>
    <w:rsid w:val="79C60A76"/>
    <w:rsid w:val="7A023617"/>
    <w:rsid w:val="7A45518B"/>
    <w:rsid w:val="7A8441C1"/>
    <w:rsid w:val="7A8D4CDD"/>
    <w:rsid w:val="7A951E4C"/>
    <w:rsid w:val="7AD64D49"/>
    <w:rsid w:val="7B6E195E"/>
    <w:rsid w:val="7B8C470C"/>
    <w:rsid w:val="7B907E64"/>
    <w:rsid w:val="7BD7755A"/>
    <w:rsid w:val="7BDA2DC3"/>
    <w:rsid w:val="7CD86F11"/>
    <w:rsid w:val="7CDE2DB3"/>
    <w:rsid w:val="7D3D3D7B"/>
    <w:rsid w:val="7D6017C3"/>
    <w:rsid w:val="7D8970D8"/>
    <w:rsid w:val="7DAC2FC7"/>
    <w:rsid w:val="7E2F4BA3"/>
    <w:rsid w:val="7E6F75C7"/>
    <w:rsid w:val="7EC231E5"/>
    <w:rsid w:val="7EF209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3"/>
    <w:next w:val="1"/>
    <w:qFormat/>
    <w:uiPriority w:val="0"/>
    <w:pPr>
      <w:keepNext/>
      <w:keepLines/>
      <w:spacing w:before="340" w:beforeLines="0" w:beforeAutospacing="0" w:after="330" w:afterLines="0" w:afterAutospacing="0" w:line="640" w:lineRule="exact"/>
      <w:ind w:firstLine="0" w:firstLineChars="0"/>
      <w:outlineLvl w:val="0"/>
    </w:pPr>
    <w:rPr>
      <w:rFonts w:ascii="Arial" w:hAnsi="Arial" w:eastAsia="方正小标宋简体"/>
      <w:kern w:val="44"/>
      <w:sz w:val="44"/>
    </w:rPr>
  </w:style>
  <w:style w:type="paragraph" w:styleId="4">
    <w:name w:val="heading 2"/>
    <w:basedOn w:val="2"/>
    <w:next w:val="1"/>
    <w:semiHidden/>
    <w:unhideWhenUsed/>
    <w:qFormat/>
    <w:uiPriority w:val="0"/>
    <w:pPr>
      <w:keepNext/>
      <w:keepLines/>
      <w:spacing w:before="260" w:beforeLines="0" w:beforeAutospacing="0" w:after="260" w:afterLines="0" w:afterAutospacing="0" w:line="413" w:lineRule="auto"/>
      <w:jc w:val="left"/>
      <w:outlineLvl w:val="1"/>
    </w:pPr>
    <w:rPr>
      <w:rFonts w:eastAsia="黑体"/>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Title"/>
    <w:basedOn w:val="1"/>
    <w:next w:val="1"/>
    <w:qFormat/>
    <w:uiPriority w:val="0"/>
    <w:pPr>
      <w:autoSpaceDE/>
      <w:autoSpaceDN/>
      <w:spacing w:line="640" w:lineRule="exact"/>
      <w:jc w:val="center"/>
      <w:outlineLvl w:val="0"/>
    </w:pPr>
    <w:rPr>
      <w:rFonts w:ascii="Microsoft JhengHei" w:hAnsi="Microsoft JhengHei" w:eastAsia="方正小标宋简体" w:cs="Microsoft JhengHei"/>
      <w:snapToGrid/>
      <w:color w:val="000000"/>
      <w:spacing w:val="0"/>
      <w:sz w:val="44"/>
      <w:szCs w:val="44"/>
    </w:rPr>
  </w:style>
  <w:style w:type="paragraph" w:styleId="5">
    <w:name w:val="footer"/>
    <w:basedOn w:val="1"/>
    <w:qFormat/>
    <w:uiPriority w:val="0"/>
    <w:pPr>
      <w:tabs>
        <w:tab w:val="center" w:pos="4153"/>
        <w:tab w:val="right" w:pos="8306"/>
      </w:tabs>
      <w:snapToGrid w:val="0"/>
      <w:jc w:val="left"/>
    </w:pPr>
    <w:rPr>
      <w:rFonts w:eastAsia="宋体"/>
      <w:sz w:val="2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8a20895c-6449-462a-ac84-7442cd13b835</errorID>
      <errorWord>(</errorWord>
      <group>L1_Format</group>
      <groupName>格式问题</groupName>
      <ability>L2_HalfPunc</ability>
      <abilityName>全半角检查</abilityName>
      <candidateList>
        <item>（</item>
      </candidateList>
      <explain>文本全半角错误。</explain>
      <paraID>47CF74DA</paraID>
      <start>132</start>
      <end>133</end>
      <status>modified</status>
      <modifiedWord>（</modifiedWord>
      <trackRevisions>false</trackRevisions>
    </reviewItem>
    <reviewItem>
      <errorID>c143de90-b84f-4d24-bb92-35da4ab5280c</errorID>
      <errorWord>(</errorWord>
      <group>L1_Format</group>
      <groupName>格式问题</groupName>
      <ability>L2_HalfPunc</ability>
      <abilityName>全半角检查</abilityName>
      <candidateList>
        <item>（</item>
      </candidateList>
      <explain>文本全半角错误。</explain>
      <paraID>47CF74DA</paraID>
      <start>377</start>
      <end>378</end>
      <status>modified</status>
      <modifiedWord>（</modifiedWord>
      <trackRevisions>false</trackRevisions>
    </reviewItem>
    <reviewItem>
      <errorID>00315127-bfe1-4738-bb4b-f57367e22446</errorID>
      <errorWord>:</errorWord>
      <group>L1_Format</group>
      <groupName>格式问题</groupName>
      <ability>L2_HalfPunc</ability>
      <abilityName>全半角检查</abilityName>
      <candidateList>
        <item>：</item>
      </candidateList>
      <explain>文本全半角错误。</explain>
      <paraID>2A7BC55B</paraID>
      <start>110</start>
      <end>111</end>
      <status>modified</status>
      <modifiedWord>：</modifiedWord>
      <trackRevisions>false</trackRevisions>
    </reviewItem>
    <reviewItem>
      <errorID>d62b5378-d7da-4a14-a5e6-9e397809ffd6</errorID>
      <errorWord>食</errorWord>
      <group>L1_Grammar</group>
      <groupName>语法问题</groupName>
      <ability>L2_Order</ability>
      <abilityName>语序不当</abilityName>
      <candidateList>
        <item>产</item>
      </candidateList>
      <explain>句子可能没有遵循时空、逻辑顺序，或者介词、关联词等位置不当。</explain>
      <paraID>2A7BC55B</paraID>
      <start>338</start>
      <end>339</end>
      <status>ignored</status>
      <modifiedWord/>
      <trackRevisions>false</trackRevisions>
    </reviewItem>
    <reviewItem>
      <errorID>2e18fecb-2d85-4125-b366-7a84644c2238</errorID>
      <errorWord>(</errorWord>
      <group>L1_Format</group>
      <groupName>格式问题</groupName>
      <ability>L2_HalfPunc</ability>
      <abilityName>全半角检查</abilityName>
      <candidateList>
        <item>（</item>
      </candidateList>
      <explain>文本全半角错误。</explain>
      <paraID>64A83235</paraID>
      <start>37</start>
      <end>38</end>
      <status>modified</status>
      <modifiedWord>（</modifiedWord>
      <trackRevisions>false</trackRevisions>
    </reviewItem>
    <reviewItem>
      <errorID>77ac48c8-7b49-4b09-ac9c-8b1ed9af7d24</errorID>
      <errorWord>身份证</errorWord>
      <group>L1_Sensitive</group>
      <groupName>敏感问题</groupName>
      <ability>L2_UserSensitive</ability>
      <abilityName>自定义敏感词</abilityName>
      <candidateList/>
      <explain>来自自定义敏感词库。</explain>
      <paraID>6880E5E8</paraID>
      <start>22</start>
      <end>25</end>
      <status>ignored</status>
      <modifiedWord/>
      <trackRevisions>false</trackRevisions>
    </reviewItem>
    <reviewItem>
      <errorID>6b7c0ec1-8b11-41d1-9b1a-bb1e5c14bdb7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319F6BCF</paraID>
      <start>0</start>
      <end>2</end>
      <status>modified</status>
      <modifiedWord>4.</modifiedWord>
      <trackRevisions>false</trackRevisions>
    </reviewItem>
    <reviewItem>
      <errorID>bbda7f71-58f6-4604-854f-0e743bc4e742</errorID>
      <errorWord>情况</errorWord>
      <group>L1_Grammar</group>
      <groupName>语法问题</groupName>
      <ability>L2_Order</ability>
      <abilityName>语序不当</abilityName>
      <candidateList>
        <item>计划</item>
      </candidateList>
      <explain>句子可能没有遵循时空、逻辑顺序，或者介词、关联词等位置不当。</explain>
      <paraID>319F6BCF</paraID>
      <start>36</start>
      <end>38</end>
      <status>ignored</status>
      <modifiedWord/>
      <trackRevisions>false</trackRevisions>
    </reviewItem>
    <reviewItem>
      <errorID>402a3367-4afb-4ca4-8edc-a75363f4f4c1</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751D9C6A</paraID>
      <start>0</start>
      <end>2</end>
      <status>modified</status>
      <modifiedWord>5.</modifiedWord>
      <trackRevisions>false</trackRevisions>
    </reviewItem>
    <reviewItem>
      <errorID>1a79b9ec-9b41-4988-b9f1-79256912c869</errorID>
      <errorWord>(</errorWord>
      <group>L1_Format</group>
      <groupName>格式问题</groupName>
      <ability>L2_HalfPunc</ability>
      <abilityName>全半角检查</abilityName>
      <candidateList>
        <item>（</item>
      </candidateList>
      <explain>文本全半角错误。</explain>
      <paraID>751D9C6A</paraID>
      <start>9</start>
      <end>10</end>
      <status>modified</status>
      <modifiedWord>（</modifiedWord>
      <trackRevisions>false</trackRevisions>
    </reviewItem>
    <reviewItem>
      <errorID>5c085e04-0fcf-481a-9218-1660cf3a2ad4</errorID>
      <errorWord>)</errorWord>
      <group>L1_Format</group>
      <groupName>格式问题</groupName>
      <ability>L2_HalfPunc</ability>
      <abilityName>全半角检查</abilityName>
      <candidateList>
        <item>）</item>
      </candidateList>
      <explain>文本全半角错误。</explain>
      <paraID>751D9C6A</paraID>
      <start>28</start>
      <end>29</end>
      <status>modified</status>
      <modifiedWord>）</modifiedWord>
      <trackRevisions>false</trackRevisions>
    </reviewItem>
    <reviewItem>
      <errorID>df646b51-6278-4c5e-a969-93aea607c93f</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56D76D0</paraID>
      <start>0</start>
      <end>2</end>
      <status>modified</status>
      <modifiedWord>6.</modifiedWord>
      <trackRevisions>false</trackRevisions>
    </reviewItem>
    <reviewItem>
      <errorID>1bd5b6ed-d560-423c-821b-8e84b479091f</errorID>
      <errorWord>和未录</errorWord>
      <group>L1_Grammar</group>
      <groupName>语法问题</groupName>
      <ability>L2_Order</ability>
      <abilityName>语序不当</abilityName>
      <candidateList>
        <item>未录和</item>
      </candidateList>
      <explain>句子可能没有遵循时空、逻辑顺序，或者介词、关联词等位置不当。</explain>
      <paraID> 56D76D0</paraID>
      <start>55</start>
      <end>58</end>
      <status>ignored</status>
      <modifiedWord/>
      <trackRevisions>false</trackRevisions>
    </reviewItem>
    <reviewItem>
      <errorID>79c40c62-9ef7-45e6-8674-0f3b2715f956</errorID>
      <errorWord>2026年4月02日</errorWord>
      <group>L1_Knowledge</group>
      <groupName>知识性问题</groupName>
      <ability>L2_Time</ability>
      <abilityName>日期时间</abilityName>
      <candidateList>
        <item>2026年4月2日</item>
      </candidateList>
      <explain>根据日常书写习惯，日期一般会省略前导零。</explain>
      <paraID>4E30AA4B</paraID>
      <start>0</start>
      <end>9</end>
      <status>modified</status>
      <modifiedWord>2026年4月2日</modifiedWord>
      <trackRevisions>false</trackRevisions>
    </reviewItem>
    <reviewItem>
      <errorID>e0e6533f-1cd0-4010-80ce-8b3ce555f3a9</errorID>
      <errorWord>陈诉</errorWord>
      <group>L1_Word</group>
      <groupName>字词问题</groupName>
      <ability>L2_Typo</ability>
      <abilityName>字词错误</abilityName>
      <candidateList>
        <item>陈述</item>
      </candidateList>
      <explain>〈动〉有条有理地说出：～理由｜～意见。</explain>
      <paraID>4E30AA4B</paraID>
      <start>64</start>
      <end>66</end>
      <status>modified</status>
      <modifiedWord>陈述</modifiedWord>
      <trackRevisions>false</trackRevisions>
    </reviewItem>
    <reviewItem>
      <errorID>a6b6d712-bbf2-4310-998d-2d03d265e564</errorID>
      <errorWord>食品安全法</errorWord>
      <group>L1_Knowledge</group>
      <groupName>知识性问题</groupName>
      <ability>L2_Knowledge</ability>
      <abilityName>其他知识</abilityName>
      <candidateList>
        <item>中华人民共和国食品安全法</item>
      </candidateList>
      <explain>当前法律法规名称使用简称，请注意是否应当使用全称。</explain>
      <paraID>6E04A0A0</paraID>
      <start>96</start>
      <end>108</end>
      <status>modified</status>
      <modifiedWord>中华人民共和国食品安全法</modifiedWord>
      <trackRevisions>false</trackRevisions>
    </reviewItem>
    <reviewItem>
      <errorID>50b8d536-b9a5-4809-ae8e-f6a385cf45ae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7B784CA3</paraID>
      <start>0</start>
      <end>2</end>
      <status>modified</status>
      <modifiedWord>1.</modifiedWord>
      <trackRevisions>false</trackRevisions>
    </reviewItem>
    <reviewItem>
      <errorID>ad7e8960-873e-4eec-baf1-a911c053ac64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4114A721</paraID>
      <start>0</start>
      <end>2</end>
      <status>modified</status>
      <modifiedWord>1.</modifiedWord>
      <trackRevisions>false</trackRevisions>
    </reviewItem>
    <reviewItem>
      <errorID>d20d14c9-1a9c-430a-9588-4678ae9ef188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49390936</paraID>
      <start>0</start>
      <end>2</end>
      <status>modified</status>
      <modifiedWord>2.</modifiedWord>
      <trackRevisions>false</trackRevisions>
    </reviewItem>
    <reviewItem>
      <errorID>3ff8fd33-80bd-4b32-aa70-dc0b77d5571a</errorID>
      <errorWord>法律、法规</errorWord>
      <group>L1_Word</group>
      <groupName>字词问题</groupName>
      <ability>L2_Typo</ability>
      <abilityName>字词错误</abilityName>
      <candidateList>
        <item>法律法规</item>
      </candidateList>
      <explain/>
      <paraID>5AAAF7D9</paraID>
      <start>107</start>
      <end>112</end>
      <status>ignored</status>
      <modifiedWord/>
      <trackRevisions>false</trackRevisions>
    </reviewItem>
    <reviewItem>
      <errorID>c63cc7a3-30b4-41a9-afff-4bcabaf3d838</errorID>
      <errorWord>一式二份，一份</errorWord>
      <group>L1_Word</group>
      <groupName>字词问题</groupName>
      <ability>L2_Typo</ability>
      <abilityName>字词错误</abilityName>
      <candidateList>
        <item>一式两份，一份</item>
      </candidateList>
      <explain/>
      <paraID>54DD3BB2</paraID>
      <start>5</start>
      <end>12</end>
      <status>modified</status>
      <modifiedWord>一式两份，一份</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a22877-c63b-46ba-ba2c-089361d0ea2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1519</Words>
  <Characters>1779</Characters>
  <Lines>0</Lines>
  <Paragraphs>0</Paragraphs>
  <TotalTime>3</TotalTime>
  <ScaleCrop>false</ScaleCrop>
  <LinksUpToDate>false</LinksUpToDate>
  <CharactersWithSpaces>2031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2024-07-23T03:52:00Z</dcterms:created>
  <dc:creator>Administrator</dc:creator>
  <cp:lastModifiedBy>天天8871</cp:lastModifiedBy>
  <cp:lastPrinted>2025-11-12T10:42:00Z</cp:lastPrinted>
  <dcterms:modified xsi:type="dcterms:W3CDTF">2026-05-08T01:56:02Z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AF784EA202AD4889BDC2C5E5362BE148</vt:lpwstr>
  </property>
  <property fmtid="{D5CDD505-2E9C-101B-9397-08002B2CF9AE}" pid="4" name="KSOTemplateDocerSaveRecord">
    <vt:lpwstr>eyJoZGlkIjoiOTQ4NzBkNmM4Yzk5NTU5YTIwNTkxZTRlZDYxMzgyNTAiLCJ1c2VySWQiOiI3MjUzNTA0OTgifQ==</vt:lpwstr>
  </property>
</Properties>
</file>